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7A28735" w:rsidR="00680606" w:rsidRDefault="001E4D95">
      <w:pPr>
        <w:jc w:val="center"/>
        <w:rPr>
          <w:rFonts w:ascii="Helvetica Neue" w:eastAsia="Helvetica Neue" w:hAnsi="Helvetica Neue" w:cs="Helvetica Neue"/>
          <w:b/>
          <w:sz w:val="24"/>
          <w:szCs w:val="24"/>
        </w:rPr>
      </w:pPr>
      <w:sdt>
        <w:sdtPr>
          <w:tag w:val="goog_rdk_0"/>
          <w:id w:val="-1631401096"/>
        </w:sdtPr>
        <w:sdtEndPr/>
        <w:sdtContent/>
      </w:sdt>
      <w:r>
        <w:rPr>
          <w:rFonts w:ascii="Helvetica Neue" w:eastAsia="Helvetica Neue" w:hAnsi="Helvetica Neue" w:cs="Helvetica Neue"/>
          <w:b/>
          <w:sz w:val="32"/>
          <w:szCs w:val="32"/>
        </w:rPr>
        <w:t>Transfer Agreement</w:t>
      </w:r>
      <w:r>
        <w:rPr>
          <w:rFonts w:ascii="Helvetica Neue" w:eastAsia="Helvetica Neue" w:hAnsi="Helvetica Neue" w:cs="Helvetica Neue"/>
          <w:b/>
          <w:sz w:val="32"/>
          <w:szCs w:val="32"/>
        </w:rPr>
        <w:br/>
      </w:r>
    </w:p>
    <w:tbl>
      <w:tblPr>
        <w:tblStyle w:val="a"/>
        <w:tblW w:w="10080" w:type="dxa"/>
        <w:tblBorders>
          <w:top w:val="nil"/>
          <w:left w:val="nil"/>
          <w:bottom w:val="nil"/>
          <w:right w:val="nil"/>
          <w:insideH w:val="nil"/>
          <w:insideV w:val="nil"/>
        </w:tblBorders>
        <w:tblLayout w:type="fixed"/>
        <w:tblLook w:val="0400" w:firstRow="0" w:lastRow="0" w:firstColumn="0" w:lastColumn="0" w:noHBand="0" w:noVBand="1"/>
      </w:tblPr>
      <w:tblGrid>
        <w:gridCol w:w="5024"/>
        <w:gridCol w:w="5056"/>
      </w:tblGrid>
      <w:tr w:rsidR="00680606" w14:paraId="494E973D" w14:textId="77777777">
        <w:tc>
          <w:tcPr>
            <w:tcW w:w="5024" w:type="dxa"/>
          </w:tcPr>
          <w:p w14:paraId="00000002" w14:textId="77777777" w:rsidR="00680606" w:rsidRDefault="001E4D95">
            <w:pPr>
              <w:rPr>
                <w:rFonts w:ascii="Helvetica Neue" w:eastAsia="Helvetica Neue" w:hAnsi="Helvetica Neue" w:cs="Helvetica Neue"/>
                <w:b/>
              </w:rPr>
            </w:pPr>
            <w:r>
              <w:rPr>
                <w:noProof/>
              </w:rPr>
              <w:drawing>
                <wp:inline distT="0" distB="0" distL="0" distR="0">
                  <wp:extent cx="1904365" cy="1275715"/>
                  <wp:effectExtent l="0" t="0" r="0" b="0"/>
                  <wp:docPr id="5" name="image1.png" descr="GBC logo"/>
                  <wp:cNvGraphicFramePr/>
                  <a:graphic xmlns:a="http://schemas.openxmlformats.org/drawingml/2006/main">
                    <a:graphicData uri="http://schemas.openxmlformats.org/drawingml/2006/picture">
                      <pic:pic xmlns:pic="http://schemas.openxmlformats.org/drawingml/2006/picture">
                        <pic:nvPicPr>
                          <pic:cNvPr id="0" name="image1.png" descr="GBC logo"/>
                          <pic:cNvPicPr preferRelativeResize="0"/>
                        </pic:nvPicPr>
                        <pic:blipFill>
                          <a:blip r:embed="rId7"/>
                          <a:srcRect/>
                          <a:stretch>
                            <a:fillRect/>
                          </a:stretch>
                        </pic:blipFill>
                        <pic:spPr>
                          <a:xfrm>
                            <a:off x="0" y="0"/>
                            <a:ext cx="1904365" cy="1275715"/>
                          </a:xfrm>
                          <a:prstGeom prst="rect">
                            <a:avLst/>
                          </a:prstGeom>
                          <a:ln/>
                        </pic:spPr>
                      </pic:pic>
                    </a:graphicData>
                  </a:graphic>
                </wp:inline>
              </w:drawing>
            </w:r>
          </w:p>
        </w:tc>
        <w:tc>
          <w:tcPr>
            <w:tcW w:w="5056" w:type="dxa"/>
            <w:vAlign w:val="center"/>
          </w:tcPr>
          <w:p w14:paraId="00000003" w14:textId="77777777" w:rsidR="00680606" w:rsidRDefault="001E4D95">
            <w:pPr>
              <w:jc w:val="center"/>
              <w:rPr>
                <w:rFonts w:ascii="Helvetica Neue" w:eastAsia="Helvetica Neue" w:hAnsi="Helvetica Neue" w:cs="Helvetica Neue"/>
                <w:b/>
              </w:rPr>
            </w:pPr>
            <w:r>
              <w:rPr>
                <w:rFonts w:ascii="Helvetica Neue" w:eastAsia="Helvetica Neue" w:hAnsi="Helvetica Neue" w:cs="Helvetica Neue"/>
                <w:b/>
                <w:noProof/>
              </w:rPr>
              <w:drawing>
                <wp:inline distT="0" distB="0" distL="0" distR="0">
                  <wp:extent cx="1594852" cy="1124398"/>
                  <wp:effectExtent l="0" t="0" r="0" b="0"/>
                  <wp:docPr id="6" name="image2.gif" descr="TMCC logo"/>
                  <wp:cNvGraphicFramePr/>
                  <a:graphic xmlns:a="http://schemas.openxmlformats.org/drawingml/2006/main">
                    <a:graphicData uri="http://schemas.openxmlformats.org/drawingml/2006/picture">
                      <pic:pic xmlns:pic="http://schemas.openxmlformats.org/drawingml/2006/picture">
                        <pic:nvPicPr>
                          <pic:cNvPr id="0" name="image2.gif" descr="TMCC logo"/>
                          <pic:cNvPicPr preferRelativeResize="0"/>
                        </pic:nvPicPr>
                        <pic:blipFill>
                          <a:blip r:embed="rId8"/>
                          <a:srcRect l="34694" t="13256" r="31122" b="39030"/>
                          <a:stretch>
                            <a:fillRect/>
                          </a:stretch>
                        </pic:blipFill>
                        <pic:spPr>
                          <a:xfrm>
                            <a:off x="0" y="0"/>
                            <a:ext cx="1594852" cy="1124398"/>
                          </a:xfrm>
                          <a:prstGeom prst="rect">
                            <a:avLst/>
                          </a:prstGeom>
                          <a:ln/>
                        </pic:spPr>
                      </pic:pic>
                    </a:graphicData>
                  </a:graphic>
                </wp:inline>
              </w:drawing>
            </w:r>
          </w:p>
        </w:tc>
      </w:tr>
      <w:tr w:rsidR="00680606" w14:paraId="670CDA7F" w14:textId="77777777">
        <w:tc>
          <w:tcPr>
            <w:tcW w:w="5024" w:type="dxa"/>
          </w:tcPr>
          <w:p w14:paraId="00000004" w14:textId="77777777" w:rsidR="00680606" w:rsidRDefault="001E4D95">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Associate Degree Program: </w:t>
            </w:r>
          </w:p>
        </w:tc>
        <w:tc>
          <w:tcPr>
            <w:tcW w:w="5056" w:type="dxa"/>
          </w:tcPr>
          <w:p w14:paraId="00000005" w14:textId="77777777" w:rsidR="00680606" w:rsidRDefault="001E4D95">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Bachelor’s Degree Program: </w:t>
            </w:r>
          </w:p>
        </w:tc>
      </w:tr>
      <w:tr w:rsidR="00680606" w14:paraId="73272415" w14:textId="77777777">
        <w:tc>
          <w:tcPr>
            <w:tcW w:w="5024" w:type="dxa"/>
          </w:tcPr>
          <w:p w14:paraId="00000006" w14:textId="77777777" w:rsidR="00680606" w:rsidRDefault="001E4D95">
            <w:pPr>
              <w:rPr>
                <w:rFonts w:ascii="Helvetica Neue" w:eastAsia="Helvetica Neue" w:hAnsi="Helvetica Neue" w:cs="Helvetica Neue"/>
                <w:b/>
                <w:sz w:val="24"/>
                <w:szCs w:val="24"/>
              </w:rPr>
            </w:pPr>
            <w:r>
              <w:rPr>
                <w:rFonts w:ascii="Helvetica Neue" w:eastAsia="Helvetica Neue" w:hAnsi="Helvetica Neue" w:cs="Helvetica Neue"/>
                <w:b/>
                <w:sz w:val="24"/>
                <w:szCs w:val="24"/>
              </w:rPr>
              <w:t>Any Associate of Applied Science (AAS)</w:t>
            </w:r>
          </w:p>
        </w:tc>
        <w:tc>
          <w:tcPr>
            <w:tcW w:w="5056" w:type="dxa"/>
          </w:tcPr>
          <w:p w14:paraId="00000007" w14:textId="77777777" w:rsidR="00680606" w:rsidRDefault="001E4D95">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Bachelor of Applied Science, </w:t>
            </w:r>
            <w:proofErr w:type="spellStart"/>
            <w:r>
              <w:rPr>
                <w:rFonts w:ascii="Helvetica Neue" w:eastAsia="Helvetica Neue" w:hAnsi="Helvetica Neue" w:cs="Helvetica Neue"/>
                <w:b/>
                <w:sz w:val="24"/>
                <w:szCs w:val="24"/>
              </w:rPr>
              <w:t>CyberPhysical</w:t>
            </w:r>
            <w:proofErr w:type="spellEnd"/>
            <w:r>
              <w:rPr>
                <w:rFonts w:ascii="Helvetica Neue" w:eastAsia="Helvetica Neue" w:hAnsi="Helvetica Neue" w:cs="Helvetica Neue"/>
                <w:b/>
                <w:sz w:val="24"/>
                <w:szCs w:val="24"/>
              </w:rPr>
              <w:t xml:space="preserve"> Manufacturing</w:t>
            </w:r>
          </w:p>
        </w:tc>
      </w:tr>
    </w:tbl>
    <w:p w14:paraId="00000008" w14:textId="77777777" w:rsidR="00680606" w:rsidRDefault="00680606">
      <w:pPr>
        <w:spacing w:after="120" w:line="240" w:lineRule="auto"/>
        <w:rPr>
          <w:rFonts w:ascii="Helvetica Neue" w:eastAsia="Helvetica Neue" w:hAnsi="Helvetica Neue" w:cs="Helvetica Neue"/>
          <w:b/>
          <w:sz w:val="24"/>
          <w:szCs w:val="24"/>
        </w:rPr>
      </w:pPr>
    </w:p>
    <w:p w14:paraId="00000009" w14:textId="77777777" w:rsidR="00680606" w:rsidRDefault="001E4D95">
      <w:r>
        <w:rPr>
          <w:i/>
        </w:rPr>
        <w:t>NOTE: This transfer agreement has been created specifically for the programs listed above and only applies to students that complete the associate degree listed. If the associate degree is not earned, or a new program is selected, the transfer and articula</w:t>
      </w:r>
      <w:r>
        <w:rPr>
          <w:i/>
        </w:rPr>
        <w:t>tion of listed courses, as well as fulfilled degree requirements, could be impacted.</w:t>
      </w:r>
    </w:p>
    <w:p w14:paraId="0000000A" w14:textId="77777777" w:rsidR="00680606" w:rsidRDefault="001E4D95">
      <w:r>
        <w:rPr>
          <w:b/>
        </w:rPr>
        <w:t xml:space="preserve">Important Information: </w:t>
      </w:r>
      <w:r>
        <w:t>Applicants to this BAS program must have an Associate degree from an institutionally accredited institution.</w:t>
      </w:r>
    </w:p>
    <w:p w14:paraId="0000000B" w14:textId="77777777" w:rsidR="00680606" w:rsidRDefault="001E4D95">
      <w:r>
        <w:t>This agreement is based on any Associat</w:t>
      </w:r>
      <w:r>
        <w:t xml:space="preserve">e of Applied Science degree offered at GBC. Credit variations may occur based on the number of units required for each Associate of Applied Science degree. </w:t>
      </w:r>
    </w:p>
    <w:p w14:paraId="0000000C" w14:textId="77777777" w:rsidR="00680606" w:rsidRDefault="001E4D95">
      <w:pPr>
        <w:spacing w:after="120" w:line="240" w:lineRule="auto"/>
        <w:rPr>
          <w:rFonts w:ascii="Helvetica Neue" w:eastAsia="Helvetica Neue" w:hAnsi="Helvetica Neue" w:cs="Helvetica Neue"/>
        </w:rPr>
      </w:pPr>
      <w:r>
        <w:rPr>
          <w:rFonts w:ascii="Helvetica Neue" w:eastAsia="Helvetica Neue" w:hAnsi="Helvetica Neue" w:cs="Helvetica Neue"/>
          <w:b/>
        </w:rPr>
        <w:t>Specific General Education Courses Required: ENG 102; MATH 126, 127, 181 or STAT 152; Social Scienc</w:t>
      </w:r>
      <w:r>
        <w:rPr>
          <w:rFonts w:ascii="Helvetica Neue" w:eastAsia="Helvetica Neue" w:hAnsi="Helvetica Neue" w:cs="Helvetica Neue"/>
          <w:b/>
        </w:rPr>
        <w:t xml:space="preserve">e: ECON 102; Humanities/Diversity: AAD 201 (also taken at TMCC): Science: ENV 100 and PHYS 100. </w:t>
      </w:r>
      <w:r>
        <w:rPr>
          <w:rFonts w:ascii="Helvetica Neue" w:eastAsia="Helvetica Neue" w:hAnsi="Helvetica Neue" w:cs="Helvetica Neue"/>
        </w:rPr>
        <w:t>These courses should be completed during the associate program. NOTE: Lower-division General Education requirements are fulfilled upon completion of the associa</w:t>
      </w:r>
      <w:r>
        <w:rPr>
          <w:rFonts w:ascii="Helvetica Neue" w:eastAsia="Helvetica Neue" w:hAnsi="Helvetica Neue" w:cs="Helvetica Neue"/>
        </w:rPr>
        <w:t xml:space="preserve">te degree, </w:t>
      </w:r>
      <w:proofErr w:type="gramStart"/>
      <w:r>
        <w:rPr>
          <w:rFonts w:ascii="Helvetica Neue" w:eastAsia="Helvetica Neue" w:hAnsi="Helvetica Neue" w:cs="Helvetica Neue"/>
        </w:rPr>
        <w:t>with the exception of</w:t>
      </w:r>
      <w:proofErr w:type="gramEnd"/>
      <w:r>
        <w:rPr>
          <w:rFonts w:ascii="Helvetica Neue" w:eastAsia="Helvetica Neue" w:hAnsi="Helvetica Neue" w:cs="Helvetica Neue"/>
        </w:rPr>
        <w:t xml:space="preserve"> the courses listed above.  If a General Education subject is not listed here, you may select any general education course approved for the associate degree program.</w:t>
      </w:r>
    </w:p>
    <w:p w14:paraId="0000000D" w14:textId="77777777" w:rsidR="00680606" w:rsidRDefault="00680606">
      <w:pPr>
        <w:spacing w:after="0" w:line="240" w:lineRule="auto"/>
        <w:rPr>
          <w:rFonts w:ascii="Helvetica Neue" w:eastAsia="Helvetica Neue" w:hAnsi="Helvetica Neue" w:cs="Helvetica Neue"/>
          <w:b/>
        </w:rPr>
      </w:pPr>
    </w:p>
    <w:p w14:paraId="0000000E" w14:textId="77777777" w:rsidR="00680606" w:rsidRDefault="001E4D95">
      <w:pPr>
        <w:spacing w:after="120" w:line="240" w:lineRule="auto"/>
        <w:rPr>
          <w:rFonts w:ascii="Helvetica Neue" w:eastAsia="Helvetica Neue" w:hAnsi="Helvetica Neue" w:cs="Helvetica Neue"/>
          <w:b/>
        </w:rPr>
      </w:pPr>
      <w:r>
        <w:rPr>
          <w:rFonts w:ascii="Helvetica Neue" w:eastAsia="Helvetica Neue" w:hAnsi="Helvetica Neue" w:cs="Helvetica Neue"/>
          <w:b/>
        </w:rPr>
        <w:t>Specific Program Courses Required: OSH 222 (see below)</w:t>
      </w:r>
    </w:p>
    <w:p w14:paraId="0000000F" w14:textId="77777777" w:rsidR="00680606" w:rsidRDefault="001E4D95">
      <w:pPr>
        <w:spacing w:after="120" w:line="240" w:lineRule="auto"/>
        <w:rPr>
          <w:rFonts w:ascii="Helvetica Neue" w:eastAsia="Helvetica Neue" w:hAnsi="Helvetica Neue" w:cs="Helvetica Neue"/>
        </w:rPr>
      </w:pPr>
      <w:r>
        <w:rPr>
          <w:rFonts w:ascii="Helvetica Neue" w:eastAsia="Helvetica Neue" w:hAnsi="Helvetica Neue" w:cs="Helvetica Neue"/>
        </w:rPr>
        <w:t xml:space="preserve">These courses will articulate to specific program requirements for the bachelor’s program. Courses marked with an asterisk (*) are critical prerequisite or bachelor’s program progression courses which </w:t>
      </w:r>
      <w:r>
        <w:rPr>
          <w:rFonts w:ascii="Helvetica Neue" w:eastAsia="Helvetica Neue" w:hAnsi="Helvetica Neue" w:cs="Helvetica Neue"/>
        </w:rPr>
        <w:t>will impact a student’s progress to completing the bachelor’s degree in a timely manner if they are not taken during the associate degree program.</w:t>
      </w:r>
    </w:p>
    <w:p w14:paraId="00000010" w14:textId="77777777" w:rsidR="00680606" w:rsidRDefault="00680606">
      <w:pPr>
        <w:spacing w:after="0" w:line="240" w:lineRule="auto"/>
        <w:rPr>
          <w:rFonts w:ascii="Helvetica Neue" w:eastAsia="Helvetica Neue" w:hAnsi="Helvetica Neue" w:cs="Helvetica Neue"/>
        </w:rPr>
      </w:pPr>
    </w:p>
    <w:p w14:paraId="00000011" w14:textId="77777777" w:rsidR="00680606" w:rsidRDefault="001E4D95">
      <w:pPr>
        <w:spacing w:after="120" w:line="240" w:lineRule="auto"/>
        <w:rPr>
          <w:rFonts w:ascii="Helvetica Neue" w:eastAsia="Helvetica Neue" w:hAnsi="Helvetica Neue" w:cs="Helvetica Neue"/>
          <w:b/>
        </w:rPr>
      </w:pPr>
      <w:r>
        <w:rPr>
          <w:rFonts w:ascii="Helvetica Neue" w:eastAsia="Helvetica Neue" w:hAnsi="Helvetica Neue" w:cs="Helvetica Neue"/>
          <w:b/>
        </w:rPr>
        <w:t>Courses that must be taken at TMCC: AAD 201, OSH 222. These courses are offered online.</w:t>
      </w:r>
    </w:p>
    <w:p w14:paraId="00000012" w14:textId="77777777" w:rsidR="00680606" w:rsidRDefault="001E4D95">
      <w:pPr>
        <w:spacing w:after="120" w:line="240" w:lineRule="auto"/>
        <w:rPr>
          <w:rFonts w:ascii="Helvetica Neue" w:eastAsia="Helvetica Neue" w:hAnsi="Helvetica Neue" w:cs="Helvetica Neue"/>
        </w:rPr>
      </w:pPr>
      <w:r>
        <w:rPr>
          <w:rFonts w:ascii="Helvetica Neue" w:eastAsia="Helvetica Neue" w:hAnsi="Helvetica Neue" w:cs="Helvetica Neue"/>
        </w:rPr>
        <w:t>These courses are mu</w:t>
      </w:r>
      <w:r>
        <w:rPr>
          <w:rFonts w:ascii="Helvetica Neue" w:eastAsia="Helvetica Neue" w:hAnsi="Helvetica Neue" w:cs="Helvetica Neue"/>
        </w:rPr>
        <w:t>st be taken at TMCC and may be used for reverse transfer towards the Associate of Applied Science degree.</w:t>
      </w:r>
    </w:p>
    <w:p w14:paraId="00000013" w14:textId="77777777" w:rsidR="00680606" w:rsidRDefault="00680606">
      <w:pPr>
        <w:spacing w:after="120" w:line="240" w:lineRule="auto"/>
        <w:rPr>
          <w:rFonts w:ascii="Helvetica Neue" w:eastAsia="Helvetica Neue" w:hAnsi="Helvetica Neue" w:cs="Helvetica Neue"/>
          <w:b/>
        </w:rPr>
      </w:pPr>
    </w:p>
    <w:p w14:paraId="00000014" w14:textId="77777777" w:rsidR="00680606" w:rsidRDefault="001E4D95">
      <w:pPr>
        <w:spacing w:after="120" w:line="240" w:lineRule="auto"/>
        <w:rPr>
          <w:rFonts w:ascii="Helvetica Neue" w:eastAsia="Helvetica Neue" w:hAnsi="Helvetica Neue" w:cs="Helvetica Neue"/>
          <w:b/>
        </w:rPr>
      </w:pPr>
      <w:r>
        <w:rPr>
          <w:rFonts w:ascii="Helvetica Neue" w:eastAsia="Helvetica Neue" w:hAnsi="Helvetica Neue" w:cs="Helvetica Neue"/>
          <w:b/>
        </w:rPr>
        <w:t>Articulations/Block Transfer: N/A</w:t>
      </w:r>
    </w:p>
    <w:p w14:paraId="00000015" w14:textId="77777777" w:rsidR="00680606" w:rsidRDefault="001E4D95">
      <w:pPr>
        <w:spacing w:after="120" w:line="240" w:lineRule="auto"/>
        <w:rPr>
          <w:rFonts w:ascii="Helvetica Neue" w:eastAsia="Helvetica Neue" w:hAnsi="Helvetica Neue" w:cs="Helvetica Neue"/>
        </w:rPr>
      </w:pPr>
      <w:r>
        <w:rPr>
          <w:rFonts w:ascii="Helvetica Neue" w:eastAsia="Helvetica Neue" w:hAnsi="Helvetica Neue" w:cs="Helvetica Neue"/>
        </w:rPr>
        <w:lastRenderedPageBreak/>
        <w:t xml:space="preserve">These courses are approved articulations/substitutions/block transfer for the </w:t>
      </w:r>
      <w:proofErr w:type="gramStart"/>
      <w:r>
        <w:rPr>
          <w:rFonts w:ascii="Helvetica Neue" w:eastAsia="Helvetica Neue" w:hAnsi="Helvetica Neue" w:cs="Helvetica Neue"/>
        </w:rPr>
        <w:t>above mentioned</w:t>
      </w:r>
      <w:proofErr w:type="gramEnd"/>
      <w:r>
        <w:rPr>
          <w:rFonts w:ascii="Helvetica Neue" w:eastAsia="Helvetica Neue" w:hAnsi="Helvetica Neue" w:cs="Helvetica Neue"/>
        </w:rPr>
        <w:t xml:space="preserve"> programs and will tra</w:t>
      </w:r>
      <w:r>
        <w:rPr>
          <w:rFonts w:ascii="Helvetica Neue" w:eastAsia="Helvetica Neue" w:hAnsi="Helvetica Neue" w:cs="Helvetica Neue"/>
        </w:rPr>
        <w:t>nsfer accordingly and apply to the bachelor’s program as listed.</w:t>
      </w:r>
    </w:p>
    <w:p w14:paraId="00000016" w14:textId="77777777" w:rsidR="00680606" w:rsidRDefault="001E4D95">
      <w:pPr>
        <w:pStyle w:val="Heading2"/>
        <w:jc w:val="center"/>
        <w:rPr>
          <w:rFonts w:ascii="Helvetica Neue" w:eastAsia="Helvetica Neue" w:hAnsi="Helvetica Neue" w:cs="Helvetica Neue"/>
          <w:sz w:val="28"/>
          <w:szCs w:val="28"/>
        </w:rPr>
        <w:sectPr w:rsidR="00680606">
          <w:headerReference w:type="default" r:id="rId9"/>
          <w:footerReference w:type="default" r:id="rId10"/>
          <w:pgSz w:w="12240" w:h="15840"/>
          <w:pgMar w:top="1080" w:right="1080" w:bottom="1080" w:left="1080" w:header="720" w:footer="720" w:gutter="0"/>
          <w:pgNumType w:start="1"/>
          <w:cols w:space="720"/>
        </w:sectPr>
      </w:pPr>
      <w:r>
        <w:rPr>
          <w:rFonts w:ascii="Helvetica Neue" w:eastAsia="Helvetica Neue" w:hAnsi="Helvetica Neue" w:cs="Helvetica Neue"/>
          <w:sz w:val="28"/>
          <w:szCs w:val="28"/>
        </w:rPr>
        <w:t>Year-to-Year Course Outline</w:t>
      </w:r>
    </w:p>
    <w:p w14:paraId="00000017" w14:textId="77777777" w:rsidR="00680606" w:rsidRDefault="00680606">
      <w:pPr>
        <w:pStyle w:val="Heading3"/>
        <w:spacing w:line="240" w:lineRule="auto"/>
        <w:rPr>
          <w:rFonts w:ascii="Helvetica Neue" w:eastAsia="Helvetica Neue" w:hAnsi="Helvetica Neue" w:cs="Helvetica Neue"/>
        </w:rPr>
        <w:sectPr w:rsidR="00680606">
          <w:type w:val="continuous"/>
          <w:pgSz w:w="12240" w:h="15840"/>
          <w:pgMar w:top="720" w:right="720" w:bottom="720" w:left="720" w:header="720" w:footer="720" w:gutter="0"/>
          <w:cols w:space="720"/>
        </w:sectPr>
      </w:pPr>
    </w:p>
    <w:p w14:paraId="00000018" w14:textId="77777777" w:rsidR="00680606" w:rsidRDefault="00680606">
      <w:pPr>
        <w:spacing w:after="0" w:line="240" w:lineRule="auto"/>
        <w:rPr>
          <w:rFonts w:ascii="Helvetica Neue" w:eastAsia="Helvetica Neue" w:hAnsi="Helvetica Neue" w:cs="Helvetica Neue"/>
          <w:b/>
        </w:rPr>
        <w:sectPr w:rsidR="00680606">
          <w:type w:val="continuous"/>
          <w:pgSz w:w="12240" w:h="15840"/>
          <w:pgMar w:top="1080" w:right="1080" w:bottom="1080" w:left="1080" w:header="720" w:footer="720" w:gutter="0"/>
          <w:cols w:space="720"/>
        </w:sectPr>
      </w:pPr>
    </w:p>
    <w:p w14:paraId="00000019" w14:textId="77777777" w:rsidR="00680606" w:rsidRDefault="00680606">
      <w:pPr>
        <w:widowControl w:val="0"/>
        <w:pBdr>
          <w:top w:val="nil"/>
          <w:left w:val="nil"/>
          <w:bottom w:val="nil"/>
          <w:right w:val="nil"/>
          <w:between w:val="nil"/>
        </w:pBdr>
        <w:spacing w:after="0"/>
        <w:rPr>
          <w:rFonts w:ascii="Helvetica Neue" w:eastAsia="Helvetica Neue" w:hAnsi="Helvetica Neue" w:cs="Helvetica Neue"/>
          <w:b/>
        </w:rPr>
      </w:pPr>
    </w:p>
    <w:tbl>
      <w:tblPr>
        <w:tblStyle w:val="a0"/>
        <w:tblW w:w="4670" w:type="dxa"/>
        <w:tblBorders>
          <w:top w:val="nil"/>
          <w:left w:val="nil"/>
          <w:bottom w:val="nil"/>
          <w:right w:val="nil"/>
          <w:insideH w:val="nil"/>
          <w:insideV w:val="nil"/>
        </w:tblBorders>
        <w:tblLayout w:type="fixed"/>
        <w:tblLook w:val="0400" w:firstRow="0" w:lastRow="0" w:firstColumn="0" w:lastColumn="0" w:noHBand="0" w:noVBand="1"/>
      </w:tblPr>
      <w:tblGrid>
        <w:gridCol w:w="4670"/>
      </w:tblGrid>
      <w:tr w:rsidR="00680606" w14:paraId="287F0B3A" w14:textId="77777777">
        <w:tc>
          <w:tcPr>
            <w:tcW w:w="4670" w:type="dxa"/>
            <w:shd w:val="clear" w:color="auto" w:fill="F2F2F2"/>
          </w:tcPr>
          <w:p w14:paraId="0000001A" w14:textId="77777777" w:rsidR="00680606" w:rsidRDefault="001E4D95">
            <w:pPr>
              <w:rPr>
                <w:rFonts w:ascii="Helvetica Neue" w:eastAsia="Helvetica Neue" w:hAnsi="Helvetica Neue" w:cs="Helvetica Neue"/>
                <w:b/>
                <w:sz w:val="21"/>
                <w:szCs w:val="21"/>
              </w:rPr>
            </w:pPr>
            <w:r>
              <w:rPr>
                <w:rFonts w:ascii="Helvetica Neue" w:eastAsia="Helvetica Neue" w:hAnsi="Helvetica Neue" w:cs="Helvetica Neue"/>
                <w:b/>
                <w:sz w:val="21"/>
                <w:szCs w:val="21"/>
              </w:rPr>
              <w:t>Associate of Applied Science Program</w:t>
            </w:r>
          </w:p>
        </w:tc>
      </w:tr>
      <w:tr w:rsidR="00680606" w14:paraId="2CDE742E" w14:textId="77777777">
        <w:tc>
          <w:tcPr>
            <w:tcW w:w="4670" w:type="dxa"/>
          </w:tcPr>
          <w:p w14:paraId="0000001B" w14:textId="77777777" w:rsidR="00680606" w:rsidRDefault="00680606">
            <w:pPr>
              <w:rPr>
                <w:rFonts w:ascii="Helvetica Neue" w:eastAsia="Helvetica Neue" w:hAnsi="Helvetica Neue" w:cs="Helvetica Neue"/>
                <w:b/>
                <w:sz w:val="21"/>
                <w:szCs w:val="21"/>
              </w:rPr>
            </w:pPr>
          </w:p>
        </w:tc>
      </w:tr>
      <w:tr w:rsidR="00680606" w14:paraId="6D1BE6D2" w14:textId="77777777">
        <w:tc>
          <w:tcPr>
            <w:tcW w:w="4670" w:type="dxa"/>
          </w:tcPr>
          <w:p w14:paraId="0000001C" w14:textId="77777777" w:rsidR="00680606" w:rsidRDefault="001E4D95">
            <w:pPr>
              <w:rPr>
                <w:rFonts w:ascii="Helvetica Neue" w:eastAsia="Helvetica Neue" w:hAnsi="Helvetica Neue" w:cs="Helvetica Neue"/>
                <w:b/>
                <w:sz w:val="21"/>
                <w:szCs w:val="21"/>
              </w:rPr>
            </w:pPr>
            <w:r>
              <w:rPr>
                <w:rFonts w:ascii="Helvetica Neue" w:eastAsia="Helvetica Neue" w:hAnsi="Helvetica Neue" w:cs="Helvetica Neue"/>
                <w:b/>
                <w:sz w:val="21"/>
                <w:szCs w:val="21"/>
              </w:rPr>
              <w:t>Semester 1 (15 units)</w:t>
            </w:r>
          </w:p>
        </w:tc>
      </w:tr>
      <w:tr w:rsidR="00680606" w14:paraId="6272E585" w14:textId="77777777">
        <w:tc>
          <w:tcPr>
            <w:tcW w:w="4670" w:type="dxa"/>
          </w:tcPr>
          <w:p w14:paraId="0000001D"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ENG 101 – Composition I (3 units)</w:t>
            </w:r>
          </w:p>
        </w:tc>
      </w:tr>
      <w:tr w:rsidR="00680606" w14:paraId="6CDC1A6C" w14:textId="77777777">
        <w:tc>
          <w:tcPr>
            <w:tcW w:w="4670" w:type="dxa"/>
          </w:tcPr>
          <w:p w14:paraId="0000001E"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MATH 126 – Pre-calculus I or higher (3 units)</w:t>
            </w:r>
          </w:p>
        </w:tc>
      </w:tr>
      <w:tr w:rsidR="00680606" w14:paraId="52EE8BC8" w14:textId="77777777">
        <w:tc>
          <w:tcPr>
            <w:tcW w:w="4670" w:type="dxa"/>
          </w:tcPr>
          <w:p w14:paraId="0000001F"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AAS Program Requirements (9 units)</w:t>
            </w:r>
          </w:p>
        </w:tc>
      </w:tr>
      <w:tr w:rsidR="00680606" w14:paraId="24755CE3" w14:textId="77777777">
        <w:tc>
          <w:tcPr>
            <w:tcW w:w="4670" w:type="dxa"/>
          </w:tcPr>
          <w:p w14:paraId="00000020" w14:textId="77777777" w:rsidR="00680606" w:rsidRDefault="00680606">
            <w:pPr>
              <w:rPr>
                <w:rFonts w:ascii="Helvetica Neue" w:eastAsia="Helvetica Neue" w:hAnsi="Helvetica Neue" w:cs="Helvetica Neue"/>
                <w:sz w:val="21"/>
                <w:szCs w:val="21"/>
              </w:rPr>
            </w:pPr>
          </w:p>
        </w:tc>
      </w:tr>
      <w:tr w:rsidR="00680606" w14:paraId="45793327" w14:textId="77777777">
        <w:tc>
          <w:tcPr>
            <w:tcW w:w="4670" w:type="dxa"/>
          </w:tcPr>
          <w:p w14:paraId="00000021" w14:textId="77777777" w:rsidR="00680606" w:rsidRDefault="001E4D95">
            <w:pPr>
              <w:rPr>
                <w:rFonts w:ascii="Helvetica Neue" w:eastAsia="Helvetica Neue" w:hAnsi="Helvetica Neue" w:cs="Helvetica Neue"/>
                <w:b/>
                <w:sz w:val="21"/>
                <w:szCs w:val="21"/>
              </w:rPr>
            </w:pPr>
            <w:r>
              <w:rPr>
                <w:rFonts w:ascii="Helvetica Neue" w:eastAsia="Helvetica Neue" w:hAnsi="Helvetica Neue" w:cs="Helvetica Neue"/>
                <w:b/>
                <w:sz w:val="21"/>
                <w:szCs w:val="21"/>
              </w:rPr>
              <w:t>Semester 2 (15 units)</w:t>
            </w:r>
          </w:p>
        </w:tc>
      </w:tr>
      <w:tr w:rsidR="00680606" w14:paraId="55AC2BF8" w14:textId="77777777">
        <w:tc>
          <w:tcPr>
            <w:tcW w:w="4670" w:type="dxa"/>
          </w:tcPr>
          <w:p w14:paraId="00000022"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ENG 102 – Composition II (3 units)</w:t>
            </w:r>
          </w:p>
        </w:tc>
      </w:tr>
      <w:tr w:rsidR="00680606" w14:paraId="491FA9E7" w14:textId="77777777">
        <w:tc>
          <w:tcPr>
            <w:tcW w:w="4670" w:type="dxa"/>
          </w:tcPr>
          <w:p w14:paraId="00000023"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Science: PHYS 100 – Introductory Physics (3 </w:t>
            </w:r>
            <w:proofErr w:type="gramStart"/>
            <w:r>
              <w:rPr>
                <w:rFonts w:ascii="Helvetica Neue" w:eastAsia="Helvetica Neue" w:hAnsi="Helvetica Neue" w:cs="Helvetica Neue"/>
                <w:sz w:val="21"/>
                <w:szCs w:val="21"/>
              </w:rPr>
              <w:t>units)*</w:t>
            </w:r>
            <w:proofErr w:type="gramEnd"/>
          </w:p>
        </w:tc>
      </w:tr>
      <w:tr w:rsidR="00680606" w14:paraId="5EC5D078" w14:textId="77777777">
        <w:tc>
          <w:tcPr>
            <w:tcW w:w="4670" w:type="dxa"/>
          </w:tcPr>
          <w:p w14:paraId="00000024"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Fine Arts (3 </w:t>
            </w:r>
            <w:proofErr w:type="gramStart"/>
            <w:r>
              <w:rPr>
                <w:rFonts w:ascii="Helvetica Neue" w:eastAsia="Helvetica Neue" w:hAnsi="Helvetica Neue" w:cs="Helvetica Neue"/>
                <w:sz w:val="21"/>
                <w:szCs w:val="21"/>
              </w:rPr>
              <w:t>units)*</w:t>
            </w:r>
            <w:proofErr w:type="gramEnd"/>
          </w:p>
        </w:tc>
      </w:tr>
      <w:tr w:rsidR="00680606" w14:paraId="65DB655B" w14:textId="77777777">
        <w:tc>
          <w:tcPr>
            <w:tcW w:w="4670" w:type="dxa"/>
          </w:tcPr>
          <w:p w14:paraId="00000025"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AAS Program Requirements (6 units)</w:t>
            </w:r>
          </w:p>
        </w:tc>
      </w:tr>
      <w:tr w:rsidR="00680606" w14:paraId="2CCC4520" w14:textId="77777777">
        <w:tc>
          <w:tcPr>
            <w:tcW w:w="4670" w:type="dxa"/>
          </w:tcPr>
          <w:p w14:paraId="00000026" w14:textId="77777777" w:rsidR="00680606" w:rsidRDefault="00680606">
            <w:pPr>
              <w:rPr>
                <w:rFonts w:ascii="Helvetica Neue" w:eastAsia="Helvetica Neue" w:hAnsi="Helvetica Neue" w:cs="Helvetica Neue"/>
                <w:sz w:val="21"/>
                <w:szCs w:val="21"/>
              </w:rPr>
            </w:pPr>
          </w:p>
        </w:tc>
      </w:tr>
      <w:tr w:rsidR="00680606" w14:paraId="3384BA23" w14:textId="77777777">
        <w:tc>
          <w:tcPr>
            <w:tcW w:w="4670" w:type="dxa"/>
          </w:tcPr>
          <w:p w14:paraId="00000027" w14:textId="77777777" w:rsidR="00680606" w:rsidRDefault="001E4D95">
            <w:pPr>
              <w:rPr>
                <w:rFonts w:ascii="Helvetica Neue" w:eastAsia="Helvetica Neue" w:hAnsi="Helvetica Neue" w:cs="Helvetica Neue"/>
                <w:b/>
                <w:sz w:val="21"/>
                <w:szCs w:val="21"/>
              </w:rPr>
            </w:pPr>
            <w:r>
              <w:rPr>
                <w:rFonts w:ascii="Helvetica Neue" w:eastAsia="Helvetica Neue" w:hAnsi="Helvetica Neue" w:cs="Helvetica Neue"/>
                <w:b/>
                <w:sz w:val="21"/>
                <w:szCs w:val="21"/>
              </w:rPr>
              <w:t>Semester 3 (17 units)</w:t>
            </w:r>
          </w:p>
        </w:tc>
      </w:tr>
      <w:tr w:rsidR="00680606" w14:paraId="05E59E92" w14:textId="77777777">
        <w:tc>
          <w:tcPr>
            <w:tcW w:w="4670" w:type="dxa"/>
          </w:tcPr>
          <w:p w14:paraId="00000028"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U.S. &amp; NV Constitutions (3 units)</w:t>
            </w:r>
          </w:p>
        </w:tc>
      </w:tr>
      <w:tr w:rsidR="00680606" w14:paraId="5500EFF3" w14:textId="77777777">
        <w:tc>
          <w:tcPr>
            <w:tcW w:w="4670" w:type="dxa"/>
          </w:tcPr>
          <w:p w14:paraId="00000029"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Social Science: ECON 102 – Principles of Microeconomics (3 </w:t>
            </w:r>
            <w:proofErr w:type="gramStart"/>
            <w:r>
              <w:rPr>
                <w:rFonts w:ascii="Helvetica Neue" w:eastAsia="Helvetica Neue" w:hAnsi="Helvetica Neue" w:cs="Helvetica Neue"/>
                <w:sz w:val="21"/>
                <w:szCs w:val="21"/>
              </w:rPr>
              <w:t>units)*</w:t>
            </w:r>
            <w:proofErr w:type="gramEnd"/>
          </w:p>
        </w:tc>
      </w:tr>
      <w:tr w:rsidR="00680606" w14:paraId="20021DDD" w14:textId="77777777">
        <w:tc>
          <w:tcPr>
            <w:tcW w:w="4670" w:type="dxa"/>
          </w:tcPr>
          <w:p w14:paraId="0000002A"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Human Relations (3 units)</w:t>
            </w:r>
          </w:p>
        </w:tc>
      </w:tr>
      <w:tr w:rsidR="00680606" w14:paraId="0C405FEF" w14:textId="77777777">
        <w:tc>
          <w:tcPr>
            <w:tcW w:w="4670" w:type="dxa"/>
          </w:tcPr>
          <w:p w14:paraId="0000002B"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AAS Program Requirements (8 units)</w:t>
            </w:r>
          </w:p>
        </w:tc>
      </w:tr>
      <w:tr w:rsidR="00680606" w14:paraId="1CAD1397" w14:textId="77777777">
        <w:tc>
          <w:tcPr>
            <w:tcW w:w="4670" w:type="dxa"/>
          </w:tcPr>
          <w:p w14:paraId="0000002C" w14:textId="77777777" w:rsidR="00680606" w:rsidRDefault="00680606">
            <w:pPr>
              <w:rPr>
                <w:rFonts w:ascii="Helvetica Neue" w:eastAsia="Helvetica Neue" w:hAnsi="Helvetica Neue" w:cs="Helvetica Neue"/>
                <w:sz w:val="21"/>
                <w:szCs w:val="21"/>
              </w:rPr>
            </w:pPr>
          </w:p>
        </w:tc>
      </w:tr>
      <w:tr w:rsidR="00680606" w14:paraId="36D55170" w14:textId="77777777">
        <w:tc>
          <w:tcPr>
            <w:tcW w:w="4670" w:type="dxa"/>
          </w:tcPr>
          <w:p w14:paraId="0000002D" w14:textId="77777777" w:rsidR="00680606" w:rsidRDefault="001E4D95">
            <w:pPr>
              <w:rPr>
                <w:rFonts w:ascii="Helvetica Neue" w:eastAsia="Helvetica Neue" w:hAnsi="Helvetica Neue" w:cs="Helvetica Neue"/>
                <w:b/>
                <w:sz w:val="21"/>
                <w:szCs w:val="21"/>
              </w:rPr>
            </w:pPr>
            <w:r>
              <w:rPr>
                <w:rFonts w:ascii="Helvetica Neue" w:eastAsia="Helvetica Neue" w:hAnsi="Helvetica Neue" w:cs="Helvetica Neue"/>
                <w:b/>
                <w:sz w:val="21"/>
                <w:szCs w:val="21"/>
              </w:rPr>
              <w:t>Semester 4 (13 units)</w:t>
            </w:r>
          </w:p>
        </w:tc>
      </w:tr>
      <w:tr w:rsidR="00680606" w14:paraId="30A1F767" w14:textId="77777777">
        <w:tc>
          <w:tcPr>
            <w:tcW w:w="4670" w:type="dxa"/>
          </w:tcPr>
          <w:p w14:paraId="0000002E"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Humanities/Diversity: AAD 201 (3 </w:t>
            </w:r>
            <w:proofErr w:type="gramStart"/>
            <w:r>
              <w:rPr>
                <w:rFonts w:ascii="Helvetica Neue" w:eastAsia="Helvetica Neue" w:hAnsi="Helvetica Neue" w:cs="Helvetica Neue"/>
                <w:sz w:val="21"/>
                <w:szCs w:val="21"/>
              </w:rPr>
              <w:t>units)*</w:t>
            </w:r>
            <w:proofErr w:type="gramEnd"/>
            <w:r>
              <w:rPr>
                <w:rFonts w:ascii="Helvetica Neue" w:eastAsia="Helvetica Neue" w:hAnsi="Helvetica Neue" w:cs="Helvetica Neue"/>
                <w:sz w:val="21"/>
                <w:szCs w:val="21"/>
              </w:rPr>
              <w:t>*</w:t>
            </w:r>
          </w:p>
        </w:tc>
      </w:tr>
      <w:tr w:rsidR="00680606" w14:paraId="509CE95B" w14:textId="77777777">
        <w:tc>
          <w:tcPr>
            <w:tcW w:w="4670" w:type="dxa"/>
          </w:tcPr>
          <w:p w14:paraId="0000002F"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Human Relations (3 units)</w:t>
            </w:r>
          </w:p>
          <w:p w14:paraId="00000030" w14:textId="77777777" w:rsidR="00680606" w:rsidRDefault="001E4D95">
            <w:pPr>
              <w:rPr>
                <w:rFonts w:ascii="Helvetica Neue" w:eastAsia="Helvetica Neue" w:hAnsi="Helvetica Neue" w:cs="Helvetica Neue"/>
                <w:sz w:val="21"/>
                <w:szCs w:val="21"/>
                <w:highlight w:val="white"/>
              </w:rPr>
            </w:pPr>
            <w:r>
              <w:rPr>
                <w:rFonts w:ascii="Helvetica Neue" w:eastAsia="Helvetica Neue" w:hAnsi="Helvetica Neue" w:cs="Helvetica Neue"/>
                <w:sz w:val="21"/>
                <w:szCs w:val="21"/>
                <w:highlight w:val="white"/>
              </w:rPr>
              <w:t xml:space="preserve">OSH 222 (1 </w:t>
            </w:r>
            <w:proofErr w:type="gramStart"/>
            <w:r>
              <w:rPr>
                <w:rFonts w:ascii="Helvetica Neue" w:eastAsia="Helvetica Neue" w:hAnsi="Helvetica Neue" w:cs="Helvetica Neue"/>
                <w:sz w:val="21"/>
                <w:szCs w:val="21"/>
                <w:highlight w:val="white"/>
              </w:rPr>
              <w:t>unit)*</w:t>
            </w:r>
            <w:proofErr w:type="gramEnd"/>
            <w:r>
              <w:rPr>
                <w:rFonts w:ascii="Helvetica Neue" w:eastAsia="Helvetica Neue" w:hAnsi="Helvetica Neue" w:cs="Helvetica Neue"/>
                <w:sz w:val="21"/>
                <w:szCs w:val="21"/>
                <w:highlight w:val="white"/>
              </w:rPr>
              <w:t>*</w:t>
            </w:r>
          </w:p>
        </w:tc>
      </w:tr>
      <w:tr w:rsidR="00680606" w14:paraId="2EB13814" w14:textId="77777777">
        <w:tc>
          <w:tcPr>
            <w:tcW w:w="4670" w:type="dxa"/>
          </w:tcPr>
          <w:p w14:paraId="00000031"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Technology </w:t>
            </w:r>
            <w:r>
              <w:rPr>
                <w:rFonts w:ascii="Helvetica Neue" w:eastAsia="Helvetica Neue" w:hAnsi="Helvetica Neue" w:cs="Helvetica Neue"/>
                <w:sz w:val="21"/>
                <w:szCs w:val="21"/>
              </w:rPr>
              <w:t>(3 units)</w:t>
            </w:r>
          </w:p>
        </w:tc>
      </w:tr>
      <w:tr w:rsidR="00680606" w14:paraId="5FC11FF2" w14:textId="77777777">
        <w:tc>
          <w:tcPr>
            <w:tcW w:w="4670" w:type="dxa"/>
          </w:tcPr>
          <w:p w14:paraId="00000032"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AAS Program Requirements (9 units)</w:t>
            </w:r>
          </w:p>
        </w:tc>
      </w:tr>
      <w:tr w:rsidR="00680606" w14:paraId="0EF36819" w14:textId="77777777">
        <w:tc>
          <w:tcPr>
            <w:tcW w:w="4670" w:type="dxa"/>
          </w:tcPr>
          <w:p w14:paraId="00000033" w14:textId="77777777" w:rsidR="00680606" w:rsidRDefault="00680606">
            <w:pPr>
              <w:rPr>
                <w:rFonts w:ascii="Helvetica Neue" w:eastAsia="Helvetica Neue" w:hAnsi="Helvetica Neue" w:cs="Helvetica Neue"/>
                <w:sz w:val="21"/>
                <w:szCs w:val="21"/>
              </w:rPr>
            </w:pPr>
            <w:bookmarkStart w:id="0" w:name="_heading=h.gjdgxs" w:colFirst="0" w:colLast="0"/>
            <w:bookmarkEnd w:id="0"/>
          </w:p>
        </w:tc>
      </w:tr>
    </w:tbl>
    <w:p w14:paraId="00000034" w14:textId="77777777" w:rsidR="00680606" w:rsidRDefault="00680606">
      <w:pPr>
        <w:spacing w:after="0" w:line="240" w:lineRule="auto"/>
        <w:rPr>
          <w:rFonts w:ascii="Helvetica Neue" w:eastAsia="Helvetica Neue" w:hAnsi="Helvetica Neue" w:cs="Helvetica Neue"/>
        </w:rPr>
      </w:pPr>
    </w:p>
    <w:p w14:paraId="00000035" w14:textId="77777777" w:rsidR="00680606" w:rsidRDefault="00680606">
      <w:pPr>
        <w:spacing w:after="0" w:line="240" w:lineRule="auto"/>
        <w:rPr>
          <w:rFonts w:ascii="Helvetica Neue" w:eastAsia="Helvetica Neue" w:hAnsi="Helvetica Neue" w:cs="Helvetica Neue"/>
        </w:rPr>
      </w:pPr>
    </w:p>
    <w:tbl>
      <w:tblPr>
        <w:tblStyle w:val="a1"/>
        <w:tblW w:w="4670" w:type="dxa"/>
        <w:tblBorders>
          <w:top w:val="nil"/>
          <w:left w:val="nil"/>
          <w:bottom w:val="nil"/>
          <w:right w:val="nil"/>
          <w:insideH w:val="nil"/>
          <w:insideV w:val="nil"/>
        </w:tblBorders>
        <w:tblLayout w:type="fixed"/>
        <w:tblLook w:val="0400" w:firstRow="0" w:lastRow="0" w:firstColumn="0" w:lastColumn="0" w:noHBand="0" w:noVBand="1"/>
      </w:tblPr>
      <w:tblGrid>
        <w:gridCol w:w="4670"/>
      </w:tblGrid>
      <w:tr w:rsidR="00680606" w14:paraId="2AED511D" w14:textId="77777777">
        <w:tc>
          <w:tcPr>
            <w:tcW w:w="4670" w:type="dxa"/>
          </w:tcPr>
          <w:p w14:paraId="00000036"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*Meets program requirement</w:t>
            </w:r>
          </w:p>
          <w:p w14:paraId="00000037"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Must be taken at TMCC (online) for reverse transfer </w:t>
            </w:r>
          </w:p>
        </w:tc>
      </w:tr>
      <w:tr w:rsidR="00680606" w14:paraId="6D4D8AB1" w14:textId="77777777">
        <w:tc>
          <w:tcPr>
            <w:tcW w:w="4670" w:type="dxa"/>
          </w:tcPr>
          <w:p w14:paraId="00000038" w14:textId="77777777" w:rsidR="00680606" w:rsidRDefault="00680606">
            <w:pPr>
              <w:rPr>
                <w:rFonts w:ascii="Helvetica Neue" w:eastAsia="Helvetica Neue" w:hAnsi="Helvetica Neue" w:cs="Helvetica Neue"/>
                <w:sz w:val="21"/>
                <w:szCs w:val="21"/>
              </w:rPr>
            </w:pPr>
          </w:p>
        </w:tc>
      </w:tr>
    </w:tbl>
    <w:p w14:paraId="00000039" w14:textId="77777777" w:rsidR="00680606" w:rsidRDefault="00680606">
      <w:pPr>
        <w:spacing w:after="0" w:line="240" w:lineRule="auto"/>
        <w:rPr>
          <w:rFonts w:ascii="Helvetica Neue" w:eastAsia="Helvetica Neue" w:hAnsi="Helvetica Neue" w:cs="Helvetica Neue"/>
        </w:rPr>
      </w:pPr>
    </w:p>
    <w:p w14:paraId="0000003A" w14:textId="77777777" w:rsidR="00680606" w:rsidRDefault="00680606">
      <w:pPr>
        <w:spacing w:after="0" w:line="240" w:lineRule="auto"/>
        <w:rPr>
          <w:rFonts w:ascii="Helvetica Neue" w:eastAsia="Helvetica Neue" w:hAnsi="Helvetica Neue" w:cs="Helvetica Neue"/>
        </w:rPr>
      </w:pPr>
    </w:p>
    <w:p w14:paraId="0000003B" w14:textId="77777777" w:rsidR="00680606" w:rsidRDefault="00680606">
      <w:pPr>
        <w:spacing w:after="0" w:line="240" w:lineRule="auto"/>
        <w:rPr>
          <w:rFonts w:ascii="Helvetica Neue" w:eastAsia="Helvetica Neue" w:hAnsi="Helvetica Neue" w:cs="Helvetica Neue"/>
        </w:rPr>
      </w:pPr>
    </w:p>
    <w:p w14:paraId="0000003C" w14:textId="77777777" w:rsidR="00680606" w:rsidRDefault="00680606">
      <w:pPr>
        <w:spacing w:after="0" w:line="240" w:lineRule="auto"/>
        <w:rPr>
          <w:rFonts w:ascii="Helvetica Neue" w:eastAsia="Helvetica Neue" w:hAnsi="Helvetica Neue" w:cs="Helvetica Neue"/>
        </w:rPr>
      </w:pPr>
    </w:p>
    <w:p w14:paraId="0000003D" w14:textId="77777777" w:rsidR="00680606" w:rsidRDefault="00680606">
      <w:pPr>
        <w:spacing w:after="0" w:line="240" w:lineRule="auto"/>
        <w:rPr>
          <w:rFonts w:ascii="Helvetica Neue" w:eastAsia="Helvetica Neue" w:hAnsi="Helvetica Neue" w:cs="Helvetica Neue"/>
        </w:rPr>
      </w:pPr>
    </w:p>
    <w:p w14:paraId="0000003E" w14:textId="77777777" w:rsidR="00680606" w:rsidRDefault="00680606">
      <w:pPr>
        <w:spacing w:after="0" w:line="240" w:lineRule="auto"/>
        <w:rPr>
          <w:rFonts w:ascii="Helvetica Neue" w:eastAsia="Helvetica Neue" w:hAnsi="Helvetica Neue" w:cs="Helvetica Neue"/>
        </w:rPr>
      </w:pPr>
    </w:p>
    <w:p w14:paraId="0000003F" w14:textId="77777777" w:rsidR="00680606" w:rsidRDefault="00680606">
      <w:pPr>
        <w:spacing w:after="0" w:line="240" w:lineRule="auto"/>
        <w:rPr>
          <w:rFonts w:ascii="Helvetica Neue" w:eastAsia="Helvetica Neue" w:hAnsi="Helvetica Neue" w:cs="Helvetica Neue"/>
        </w:rPr>
      </w:pPr>
    </w:p>
    <w:tbl>
      <w:tblPr>
        <w:tblStyle w:val="a2"/>
        <w:tblW w:w="4670" w:type="dxa"/>
        <w:tblBorders>
          <w:top w:val="nil"/>
          <w:left w:val="nil"/>
          <w:bottom w:val="nil"/>
          <w:right w:val="nil"/>
          <w:insideH w:val="nil"/>
          <w:insideV w:val="nil"/>
        </w:tblBorders>
        <w:tblLayout w:type="fixed"/>
        <w:tblLook w:val="0400" w:firstRow="0" w:lastRow="0" w:firstColumn="0" w:lastColumn="0" w:noHBand="0" w:noVBand="1"/>
      </w:tblPr>
      <w:tblGrid>
        <w:gridCol w:w="4670"/>
      </w:tblGrid>
      <w:tr w:rsidR="00680606" w14:paraId="52CE9B3D" w14:textId="77777777">
        <w:tc>
          <w:tcPr>
            <w:tcW w:w="4670" w:type="dxa"/>
            <w:shd w:val="clear" w:color="auto" w:fill="F2F2F2"/>
          </w:tcPr>
          <w:p w14:paraId="00000040"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b/>
                <w:sz w:val="21"/>
                <w:szCs w:val="21"/>
              </w:rPr>
              <w:t xml:space="preserve">BAS </w:t>
            </w:r>
            <w:proofErr w:type="spellStart"/>
            <w:r>
              <w:rPr>
                <w:rFonts w:ascii="Helvetica Neue" w:eastAsia="Helvetica Neue" w:hAnsi="Helvetica Neue" w:cs="Helvetica Neue"/>
                <w:b/>
                <w:sz w:val="21"/>
                <w:szCs w:val="21"/>
              </w:rPr>
              <w:t>CyberPhysical</w:t>
            </w:r>
            <w:proofErr w:type="spellEnd"/>
            <w:r>
              <w:rPr>
                <w:rFonts w:ascii="Helvetica Neue" w:eastAsia="Helvetica Neue" w:hAnsi="Helvetica Neue" w:cs="Helvetica Neue"/>
                <w:b/>
                <w:sz w:val="21"/>
                <w:szCs w:val="21"/>
              </w:rPr>
              <w:t xml:space="preserve"> Manufacturing</w:t>
            </w:r>
          </w:p>
        </w:tc>
      </w:tr>
      <w:tr w:rsidR="00680606" w14:paraId="5B266593" w14:textId="77777777">
        <w:tc>
          <w:tcPr>
            <w:tcW w:w="4670" w:type="dxa"/>
          </w:tcPr>
          <w:p w14:paraId="00000041" w14:textId="77777777" w:rsidR="00680606" w:rsidRDefault="00680606">
            <w:pPr>
              <w:rPr>
                <w:rFonts w:ascii="Helvetica Neue" w:eastAsia="Helvetica Neue" w:hAnsi="Helvetica Neue" w:cs="Helvetica Neue"/>
                <w:sz w:val="21"/>
                <w:szCs w:val="21"/>
              </w:rPr>
            </w:pPr>
          </w:p>
        </w:tc>
      </w:tr>
      <w:tr w:rsidR="00680606" w14:paraId="6B13A040" w14:textId="77777777">
        <w:tc>
          <w:tcPr>
            <w:tcW w:w="4670" w:type="dxa"/>
          </w:tcPr>
          <w:p w14:paraId="00000042"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b/>
                <w:sz w:val="21"/>
                <w:szCs w:val="21"/>
              </w:rPr>
              <w:t>Semester 5 (15 units)</w:t>
            </w:r>
          </w:p>
        </w:tc>
      </w:tr>
      <w:tr w:rsidR="00680606" w14:paraId="6AF7AE02" w14:textId="77777777">
        <w:tc>
          <w:tcPr>
            <w:tcW w:w="4670" w:type="dxa"/>
          </w:tcPr>
          <w:p w14:paraId="00000043"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CS 151 – Introduction to Cybersecurity (3 units)</w:t>
            </w:r>
          </w:p>
        </w:tc>
      </w:tr>
      <w:tr w:rsidR="00680606" w14:paraId="3ADB7F2F" w14:textId="77777777">
        <w:tc>
          <w:tcPr>
            <w:tcW w:w="4670" w:type="dxa"/>
          </w:tcPr>
          <w:p w14:paraId="00000044"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MPT 311 – Laser Scanning Methods / Techniques (3 units)</w:t>
            </w:r>
          </w:p>
        </w:tc>
      </w:tr>
      <w:tr w:rsidR="00680606" w14:paraId="11AAFCAD" w14:textId="77777777">
        <w:tc>
          <w:tcPr>
            <w:tcW w:w="4670" w:type="dxa"/>
          </w:tcPr>
          <w:p w14:paraId="00000045"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MPT 312 – Industry 4.0 / </w:t>
            </w:r>
            <w:proofErr w:type="spellStart"/>
            <w:r>
              <w:rPr>
                <w:rFonts w:ascii="Helvetica Neue" w:eastAsia="Helvetica Neue" w:hAnsi="Helvetica Neue" w:cs="Helvetica Neue"/>
                <w:sz w:val="21"/>
                <w:szCs w:val="21"/>
              </w:rPr>
              <w:t>CyberPhysical</w:t>
            </w:r>
            <w:proofErr w:type="spellEnd"/>
            <w:r>
              <w:rPr>
                <w:rFonts w:ascii="Helvetica Neue" w:eastAsia="Helvetica Neue" w:hAnsi="Helvetica Neue" w:cs="Helvetica Neue"/>
                <w:sz w:val="21"/>
                <w:szCs w:val="21"/>
              </w:rPr>
              <w:t xml:space="preserve"> Manufacturing (3 units)</w:t>
            </w:r>
          </w:p>
        </w:tc>
      </w:tr>
      <w:tr w:rsidR="00680606" w14:paraId="67AC4114" w14:textId="77777777">
        <w:tc>
          <w:tcPr>
            <w:tcW w:w="4670" w:type="dxa"/>
          </w:tcPr>
          <w:p w14:paraId="00000046"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CADD 245 – Solid Modeling and Parametric Design (3 units)</w:t>
            </w:r>
          </w:p>
        </w:tc>
      </w:tr>
      <w:tr w:rsidR="00680606" w14:paraId="56497A00" w14:textId="77777777">
        <w:tc>
          <w:tcPr>
            <w:tcW w:w="4670" w:type="dxa"/>
          </w:tcPr>
          <w:p w14:paraId="00000047"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Science: ENV 101 – Introduction to Environmental Science (3 units)</w:t>
            </w:r>
          </w:p>
        </w:tc>
      </w:tr>
      <w:tr w:rsidR="00680606" w14:paraId="5BDA34C1" w14:textId="77777777">
        <w:tc>
          <w:tcPr>
            <w:tcW w:w="4670" w:type="dxa"/>
          </w:tcPr>
          <w:p w14:paraId="00000048" w14:textId="77777777" w:rsidR="00680606" w:rsidRDefault="00680606">
            <w:pPr>
              <w:rPr>
                <w:rFonts w:ascii="Helvetica Neue" w:eastAsia="Helvetica Neue" w:hAnsi="Helvetica Neue" w:cs="Helvetica Neue"/>
                <w:sz w:val="21"/>
                <w:szCs w:val="21"/>
              </w:rPr>
            </w:pPr>
          </w:p>
        </w:tc>
      </w:tr>
      <w:tr w:rsidR="00680606" w14:paraId="5D26B963" w14:textId="77777777">
        <w:tc>
          <w:tcPr>
            <w:tcW w:w="4670" w:type="dxa"/>
          </w:tcPr>
          <w:p w14:paraId="00000049"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b/>
                <w:sz w:val="21"/>
                <w:szCs w:val="21"/>
              </w:rPr>
              <w:t>Semester 6 (14 units)</w:t>
            </w:r>
          </w:p>
        </w:tc>
      </w:tr>
      <w:tr w:rsidR="00680606" w14:paraId="31A2ECAC" w14:textId="77777777">
        <w:tc>
          <w:tcPr>
            <w:tcW w:w="4670" w:type="dxa"/>
          </w:tcPr>
          <w:p w14:paraId="0000004A" w14:textId="77777777" w:rsidR="00680606" w:rsidRDefault="001E4D95">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sz w:val="21"/>
                <w:szCs w:val="21"/>
              </w:rPr>
            </w:pPr>
            <w:r>
              <w:rPr>
                <w:rFonts w:ascii="Helvetica Neue" w:eastAsia="Helvetica Neue" w:hAnsi="Helvetica Neue" w:cs="Helvetica Neue"/>
                <w:sz w:val="21"/>
                <w:szCs w:val="21"/>
              </w:rPr>
              <w:t>MPT 305 – Introduction to System Dynamics (3 units)</w:t>
            </w:r>
          </w:p>
        </w:tc>
      </w:tr>
      <w:tr w:rsidR="00680606" w14:paraId="525E56EE" w14:textId="77777777">
        <w:tc>
          <w:tcPr>
            <w:tcW w:w="4670" w:type="dxa"/>
          </w:tcPr>
          <w:p w14:paraId="0000004B"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MPT 325 – Digital Inspection / Quality Control (4 u</w:t>
            </w:r>
            <w:r>
              <w:rPr>
                <w:rFonts w:ascii="Helvetica Neue" w:eastAsia="Helvetica Neue" w:hAnsi="Helvetica Neue" w:cs="Helvetica Neue"/>
                <w:sz w:val="21"/>
                <w:szCs w:val="21"/>
              </w:rPr>
              <w:t>nits)</w:t>
            </w:r>
          </w:p>
        </w:tc>
      </w:tr>
      <w:tr w:rsidR="00680606" w14:paraId="0839B724" w14:textId="77777777">
        <w:tc>
          <w:tcPr>
            <w:tcW w:w="4670" w:type="dxa"/>
          </w:tcPr>
          <w:p w14:paraId="0000004C"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MPT 340 – Computer Simulations and Analysis (4 units)</w:t>
            </w:r>
          </w:p>
        </w:tc>
      </w:tr>
      <w:tr w:rsidR="00680606" w14:paraId="293388EA" w14:textId="77777777">
        <w:tc>
          <w:tcPr>
            <w:tcW w:w="4670" w:type="dxa"/>
          </w:tcPr>
          <w:p w14:paraId="0000004D"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MPT 343 – Design and Manufacturing Process III (3 units)</w:t>
            </w:r>
          </w:p>
        </w:tc>
      </w:tr>
      <w:tr w:rsidR="00680606" w14:paraId="3918529F" w14:textId="77777777">
        <w:tc>
          <w:tcPr>
            <w:tcW w:w="4670" w:type="dxa"/>
          </w:tcPr>
          <w:p w14:paraId="0000004E" w14:textId="77777777" w:rsidR="00680606" w:rsidRDefault="00680606">
            <w:pPr>
              <w:rPr>
                <w:rFonts w:ascii="Helvetica Neue" w:eastAsia="Helvetica Neue" w:hAnsi="Helvetica Neue" w:cs="Helvetica Neue"/>
                <w:sz w:val="21"/>
                <w:szCs w:val="21"/>
              </w:rPr>
            </w:pPr>
          </w:p>
        </w:tc>
      </w:tr>
      <w:tr w:rsidR="00680606" w14:paraId="752680E4" w14:textId="77777777">
        <w:tc>
          <w:tcPr>
            <w:tcW w:w="4670" w:type="dxa"/>
          </w:tcPr>
          <w:p w14:paraId="0000004F"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b/>
                <w:sz w:val="21"/>
                <w:szCs w:val="21"/>
              </w:rPr>
              <w:t>Semester 7 (15 units)</w:t>
            </w:r>
          </w:p>
        </w:tc>
      </w:tr>
      <w:tr w:rsidR="00680606" w14:paraId="612B9094" w14:textId="77777777">
        <w:tc>
          <w:tcPr>
            <w:tcW w:w="4670" w:type="dxa"/>
          </w:tcPr>
          <w:p w14:paraId="00000050" w14:textId="77777777" w:rsidR="00680606" w:rsidRDefault="001E4D95">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sz w:val="21"/>
                <w:szCs w:val="21"/>
              </w:rPr>
            </w:pPr>
            <w:r>
              <w:rPr>
                <w:rFonts w:ascii="Helvetica Neue" w:eastAsia="Helvetica Neue" w:hAnsi="Helvetica Neue" w:cs="Helvetica Neue"/>
                <w:sz w:val="21"/>
                <w:szCs w:val="21"/>
              </w:rPr>
              <w:t>EIT 437 – Introduction to Control Systems (4 units)</w:t>
            </w:r>
          </w:p>
        </w:tc>
      </w:tr>
      <w:tr w:rsidR="00680606" w14:paraId="5F567161" w14:textId="77777777">
        <w:tc>
          <w:tcPr>
            <w:tcW w:w="4670" w:type="dxa"/>
          </w:tcPr>
          <w:p w14:paraId="00000051"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ELM 240 – Advanced Manufacturing Robotic Systems (4 units)</w:t>
            </w:r>
          </w:p>
        </w:tc>
      </w:tr>
      <w:tr w:rsidR="00680606" w14:paraId="12487A7F" w14:textId="77777777">
        <w:tc>
          <w:tcPr>
            <w:tcW w:w="4670" w:type="dxa"/>
          </w:tcPr>
          <w:p w14:paraId="00000052"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ELM 340 – Robotic Programming Offline (3 units)</w:t>
            </w:r>
          </w:p>
        </w:tc>
      </w:tr>
      <w:tr w:rsidR="00680606" w14:paraId="01900EF7" w14:textId="77777777">
        <w:tc>
          <w:tcPr>
            <w:tcW w:w="4670" w:type="dxa"/>
          </w:tcPr>
          <w:p w14:paraId="00000053"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MPT 363 – Manufacturing Execution Systems (4 units)</w:t>
            </w:r>
          </w:p>
        </w:tc>
      </w:tr>
      <w:tr w:rsidR="00680606" w14:paraId="0E9ACF62" w14:textId="77777777">
        <w:tc>
          <w:tcPr>
            <w:tcW w:w="4670" w:type="dxa"/>
          </w:tcPr>
          <w:p w14:paraId="00000054" w14:textId="77777777" w:rsidR="00680606" w:rsidRDefault="00680606">
            <w:pPr>
              <w:rPr>
                <w:rFonts w:ascii="Helvetica Neue" w:eastAsia="Helvetica Neue" w:hAnsi="Helvetica Neue" w:cs="Helvetica Neue"/>
                <w:sz w:val="21"/>
                <w:szCs w:val="21"/>
              </w:rPr>
            </w:pPr>
          </w:p>
        </w:tc>
      </w:tr>
      <w:tr w:rsidR="00680606" w14:paraId="6412982D" w14:textId="77777777">
        <w:tc>
          <w:tcPr>
            <w:tcW w:w="4670" w:type="dxa"/>
          </w:tcPr>
          <w:p w14:paraId="00000055"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b/>
                <w:sz w:val="21"/>
                <w:szCs w:val="21"/>
              </w:rPr>
              <w:t>Semester 8 (17 units)</w:t>
            </w:r>
          </w:p>
        </w:tc>
      </w:tr>
      <w:tr w:rsidR="00680606" w14:paraId="3864D6D2" w14:textId="77777777">
        <w:tc>
          <w:tcPr>
            <w:tcW w:w="4670" w:type="dxa"/>
          </w:tcPr>
          <w:p w14:paraId="00000056"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EIT 468 – Advanced Control Systems (3 units)</w:t>
            </w:r>
          </w:p>
        </w:tc>
      </w:tr>
      <w:tr w:rsidR="00680606" w14:paraId="0F91F7A1" w14:textId="77777777">
        <w:tc>
          <w:tcPr>
            <w:tcW w:w="4670" w:type="dxa"/>
          </w:tcPr>
          <w:p w14:paraId="00000057" w14:textId="77777777" w:rsidR="00680606" w:rsidRDefault="001E4D95">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ELM 440 – Collaborative Robot Design and Operation (3 units)</w:t>
            </w:r>
          </w:p>
        </w:tc>
      </w:tr>
      <w:tr w:rsidR="00680606" w14:paraId="6DD59DF2" w14:textId="77777777">
        <w:tc>
          <w:tcPr>
            <w:tcW w:w="4670" w:type="dxa"/>
          </w:tcPr>
          <w:p w14:paraId="00000058" w14:textId="77777777" w:rsidR="00680606" w:rsidRDefault="001E4D95">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Helvetica Neue" w:eastAsia="Helvetica Neue" w:hAnsi="Helvetica Neue" w:cs="Helvetica Neue"/>
                <w:sz w:val="21"/>
                <w:szCs w:val="21"/>
              </w:rPr>
            </w:pPr>
            <w:r>
              <w:rPr>
                <w:rFonts w:ascii="Helvetica Neue" w:eastAsia="Helvetica Neue" w:hAnsi="Helvetica Neue" w:cs="Helvetica Neue"/>
                <w:sz w:val="21"/>
                <w:szCs w:val="21"/>
              </w:rPr>
              <w:t>MPT 411 – Advanced Machine Vision Integration (4 units)</w:t>
            </w:r>
          </w:p>
        </w:tc>
      </w:tr>
      <w:tr w:rsidR="00680606" w14:paraId="3719518A" w14:textId="77777777">
        <w:tc>
          <w:tcPr>
            <w:tcW w:w="4670" w:type="dxa"/>
          </w:tcPr>
          <w:p w14:paraId="00000059"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MPT 412 – Advanced Digital Inspection (3 units)</w:t>
            </w:r>
          </w:p>
        </w:tc>
      </w:tr>
      <w:tr w:rsidR="00680606" w14:paraId="6159E217" w14:textId="77777777">
        <w:tc>
          <w:tcPr>
            <w:tcW w:w="4670" w:type="dxa"/>
          </w:tcPr>
          <w:p w14:paraId="0000005A" w14:textId="77777777" w:rsidR="00680606" w:rsidRDefault="001E4D95">
            <w:pPr>
              <w:rPr>
                <w:rFonts w:ascii="Helvetica Neue" w:eastAsia="Helvetica Neue" w:hAnsi="Helvetica Neue" w:cs="Helvetica Neue"/>
                <w:sz w:val="21"/>
                <w:szCs w:val="21"/>
              </w:rPr>
            </w:pPr>
            <w:r>
              <w:rPr>
                <w:rFonts w:ascii="Helvetica Neue" w:eastAsia="Helvetica Neue" w:hAnsi="Helvetica Neue" w:cs="Helvetica Neue"/>
                <w:sz w:val="21"/>
                <w:szCs w:val="21"/>
              </w:rPr>
              <w:t>MPT 415 – Simulation of Manufacturing Systems (4 units)</w:t>
            </w:r>
          </w:p>
        </w:tc>
      </w:tr>
      <w:tr w:rsidR="00680606" w14:paraId="504366B8" w14:textId="77777777">
        <w:tc>
          <w:tcPr>
            <w:tcW w:w="4670" w:type="dxa"/>
          </w:tcPr>
          <w:p w14:paraId="0000005B" w14:textId="77777777" w:rsidR="00680606" w:rsidRDefault="00680606">
            <w:pPr>
              <w:rPr>
                <w:rFonts w:ascii="Helvetica Neue" w:eastAsia="Helvetica Neue" w:hAnsi="Helvetica Neue" w:cs="Helvetica Neue"/>
                <w:sz w:val="21"/>
                <w:szCs w:val="21"/>
              </w:rPr>
            </w:pPr>
          </w:p>
        </w:tc>
      </w:tr>
      <w:tr w:rsidR="00680606" w14:paraId="44C87CEE" w14:textId="77777777">
        <w:tc>
          <w:tcPr>
            <w:tcW w:w="4670" w:type="dxa"/>
          </w:tcPr>
          <w:p w14:paraId="0000005C" w14:textId="77777777" w:rsidR="00680606" w:rsidRDefault="001E4D95">
            <w:pPr>
              <w:rPr>
                <w:rFonts w:ascii="Helvetica Neue" w:eastAsia="Helvetica Neue" w:hAnsi="Helvetica Neue" w:cs="Helvetica Neue"/>
                <w:b/>
                <w:sz w:val="21"/>
                <w:szCs w:val="21"/>
              </w:rPr>
            </w:pPr>
            <w:r>
              <w:rPr>
                <w:rFonts w:ascii="Helvetica Neue" w:eastAsia="Helvetica Neue" w:hAnsi="Helvetica Neue" w:cs="Helvetica Neue"/>
                <w:b/>
                <w:sz w:val="21"/>
                <w:szCs w:val="21"/>
              </w:rPr>
              <w:t>TOTAL 121 units</w:t>
            </w:r>
          </w:p>
        </w:tc>
      </w:tr>
    </w:tbl>
    <w:p w14:paraId="0000005D" w14:textId="77777777" w:rsidR="00680606" w:rsidRDefault="00680606">
      <w:pPr>
        <w:spacing w:after="0" w:line="240" w:lineRule="auto"/>
        <w:rPr>
          <w:rFonts w:ascii="Helvetica Neue" w:eastAsia="Helvetica Neue" w:hAnsi="Helvetica Neue" w:cs="Helvetica Neue"/>
        </w:rPr>
      </w:pPr>
    </w:p>
    <w:sectPr w:rsidR="00680606">
      <w:type w:val="continuous"/>
      <w:pgSz w:w="12240" w:h="15840"/>
      <w:pgMar w:top="1080" w:right="1080" w:bottom="1080" w:left="1080" w:header="720" w:footer="720" w:gutter="0"/>
      <w:cols w:num="2" w:space="720" w:equalWidth="0">
        <w:col w:w="4680" w:space="720"/>
        <w:col w:w="46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FE64" w14:textId="77777777" w:rsidR="00000000" w:rsidRDefault="001E4D95">
      <w:pPr>
        <w:spacing w:after="0" w:line="240" w:lineRule="auto"/>
      </w:pPr>
      <w:r>
        <w:separator/>
      </w:r>
    </w:p>
  </w:endnote>
  <w:endnote w:type="continuationSeparator" w:id="0">
    <w:p w14:paraId="7520568E" w14:textId="77777777" w:rsidR="00000000" w:rsidRDefault="001E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F" w14:textId="77777777" w:rsidR="00680606" w:rsidRDefault="00680606">
    <w:pPr>
      <w:widowControl w:val="0"/>
      <w:pBdr>
        <w:top w:val="nil"/>
        <w:left w:val="nil"/>
        <w:bottom w:val="nil"/>
        <w:right w:val="nil"/>
        <w:between w:val="nil"/>
      </w:pBdr>
      <w:spacing w:after="0"/>
      <w:rPr>
        <w:color w:val="000000"/>
      </w:rPr>
    </w:pPr>
  </w:p>
  <w:tbl>
    <w:tblPr>
      <w:tblStyle w:val="a3"/>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680606" w14:paraId="72FD2F5B" w14:textId="77777777">
      <w:tc>
        <w:tcPr>
          <w:tcW w:w="5041" w:type="dxa"/>
        </w:tcPr>
        <w:p w14:paraId="00000060" w14:textId="77777777" w:rsidR="00680606" w:rsidRDefault="001E4D95">
          <w:pPr>
            <w:pBdr>
              <w:top w:val="nil"/>
              <w:left w:val="nil"/>
              <w:bottom w:val="nil"/>
              <w:right w:val="nil"/>
              <w:between w:val="nil"/>
            </w:pBdr>
            <w:tabs>
              <w:tab w:val="center" w:pos="4680"/>
              <w:tab w:val="right" w:pos="9360"/>
            </w:tabs>
            <w:rPr>
              <w:color w:val="000000"/>
            </w:rPr>
          </w:pPr>
          <w:r>
            <w:rPr>
              <w:color w:val="000000"/>
            </w:rPr>
            <w:t>TMCC Academic Advisement</w:t>
          </w:r>
        </w:p>
      </w:tc>
      <w:tc>
        <w:tcPr>
          <w:tcW w:w="5039" w:type="dxa"/>
        </w:tcPr>
        <w:p w14:paraId="00000061" w14:textId="77777777" w:rsidR="00680606" w:rsidRDefault="001E4D95">
          <w:pPr>
            <w:pBdr>
              <w:top w:val="nil"/>
              <w:left w:val="nil"/>
              <w:bottom w:val="nil"/>
              <w:right w:val="nil"/>
              <w:between w:val="nil"/>
            </w:pBdr>
            <w:tabs>
              <w:tab w:val="center" w:pos="4680"/>
              <w:tab w:val="right" w:pos="9360"/>
            </w:tabs>
            <w:jc w:val="right"/>
            <w:rPr>
              <w:color w:val="000000"/>
            </w:rPr>
          </w:pPr>
          <w:r>
            <w:rPr>
              <w:color w:val="000000"/>
            </w:rPr>
            <w:t>GBC Admission Advising &amp; Career Center</w:t>
          </w:r>
        </w:p>
      </w:tc>
      <w:tc>
        <w:tcPr>
          <w:tcW w:w="5039" w:type="dxa"/>
        </w:tcPr>
        <w:p w14:paraId="00000062" w14:textId="77777777" w:rsidR="00680606" w:rsidRDefault="001E4D95">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680606" w14:paraId="760EB7FB" w14:textId="77777777">
      <w:tc>
        <w:tcPr>
          <w:tcW w:w="5041" w:type="dxa"/>
        </w:tcPr>
        <w:p w14:paraId="00000063" w14:textId="77777777" w:rsidR="00680606" w:rsidRDefault="001E4D95">
          <w:pPr>
            <w:pBdr>
              <w:top w:val="nil"/>
              <w:left w:val="nil"/>
              <w:bottom w:val="nil"/>
              <w:right w:val="nil"/>
              <w:between w:val="nil"/>
            </w:pBdr>
            <w:tabs>
              <w:tab w:val="center" w:pos="4680"/>
              <w:tab w:val="right" w:pos="9360"/>
            </w:tabs>
            <w:rPr>
              <w:color w:val="000000"/>
            </w:rPr>
          </w:pPr>
          <w:r>
            <w:rPr>
              <w:color w:val="000000"/>
            </w:rPr>
            <w:t>775-673-7062</w:t>
          </w:r>
        </w:p>
      </w:tc>
      <w:tc>
        <w:tcPr>
          <w:tcW w:w="5039" w:type="dxa"/>
        </w:tcPr>
        <w:p w14:paraId="00000064" w14:textId="77777777" w:rsidR="00680606" w:rsidRDefault="001E4D95">
          <w:pPr>
            <w:pBdr>
              <w:top w:val="nil"/>
              <w:left w:val="nil"/>
              <w:bottom w:val="nil"/>
              <w:right w:val="nil"/>
              <w:between w:val="nil"/>
            </w:pBdr>
            <w:tabs>
              <w:tab w:val="center" w:pos="4680"/>
              <w:tab w:val="right" w:pos="9360"/>
            </w:tabs>
            <w:jc w:val="right"/>
            <w:rPr>
              <w:color w:val="000000"/>
            </w:rPr>
          </w:pPr>
          <w:r>
            <w:rPr>
              <w:color w:val="000000"/>
            </w:rPr>
            <w:t>775-753-2180</w:t>
          </w:r>
        </w:p>
      </w:tc>
      <w:tc>
        <w:tcPr>
          <w:tcW w:w="5039" w:type="dxa"/>
        </w:tcPr>
        <w:p w14:paraId="00000065" w14:textId="77777777" w:rsidR="00680606" w:rsidRDefault="001E4D95">
          <w:pPr>
            <w:pBdr>
              <w:top w:val="nil"/>
              <w:left w:val="nil"/>
              <w:bottom w:val="nil"/>
              <w:right w:val="nil"/>
              <w:between w:val="nil"/>
            </w:pBdr>
            <w:tabs>
              <w:tab w:val="center" w:pos="4680"/>
              <w:tab w:val="right" w:pos="9360"/>
            </w:tabs>
            <w:jc w:val="right"/>
            <w:rPr>
              <w:color w:val="000000"/>
            </w:rPr>
          </w:pPr>
          <w:r>
            <w:rPr>
              <w:color w:val="000000"/>
            </w:rPr>
            <w:t>775-445-3267</w:t>
          </w:r>
        </w:p>
      </w:tc>
    </w:tr>
    <w:tr w:rsidR="00680606" w14:paraId="2DB51730" w14:textId="77777777">
      <w:tc>
        <w:tcPr>
          <w:tcW w:w="5041" w:type="dxa"/>
        </w:tcPr>
        <w:p w14:paraId="00000066" w14:textId="77777777" w:rsidR="00680606" w:rsidRDefault="001E4D95">
          <w:pPr>
            <w:pBdr>
              <w:top w:val="nil"/>
              <w:left w:val="nil"/>
              <w:bottom w:val="nil"/>
              <w:right w:val="nil"/>
              <w:between w:val="nil"/>
            </w:pBdr>
            <w:tabs>
              <w:tab w:val="center" w:pos="4680"/>
              <w:tab w:val="right" w:pos="9360"/>
            </w:tabs>
            <w:rPr>
              <w:color w:val="000000"/>
            </w:rPr>
          </w:pPr>
          <w:r>
            <w:rPr>
              <w:color w:val="000000"/>
            </w:rPr>
            <w:t xml:space="preserve">RDMT 111, </w:t>
          </w:r>
          <w:proofErr w:type="spellStart"/>
          <w:r>
            <w:rPr>
              <w:color w:val="000000"/>
            </w:rPr>
            <w:t>Dandini</w:t>
          </w:r>
          <w:proofErr w:type="spellEnd"/>
          <w:r>
            <w:rPr>
              <w:color w:val="000000"/>
            </w:rPr>
            <w:t xml:space="preserve"> Campus</w:t>
          </w:r>
        </w:p>
      </w:tc>
      <w:tc>
        <w:tcPr>
          <w:tcW w:w="5039" w:type="dxa"/>
        </w:tcPr>
        <w:p w14:paraId="00000067" w14:textId="77777777" w:rsidR="00680606" w:rsidRDefault="001E4D95">
          <w:pPr>
            <w:pBdr>
              <w:top w:val="nil"/>
              <w:left w:val="nil"/>
              <w:bottom w:val="nil"/>
              <w:right w:val="nil"/>
              <w:between w:val="nil"/>
            </w:pBdr>
            <w:tabs>
              <w:tab w:val="center" w:pos="4680"/>
              <w:tab w:val="right" w:pos="9360"/>
            </w:tabs>
            <w:jc w:val="right"/>
            <w:rPr>
              <w:color w:val="000000"/>
            </w:rPr>
          </w:pPr>
          <w:r>
            <w:rPr>
              <w:color w:val="000000"/>
            </w:rPr>
            <w:t>Berg Hall, Elko</w:t>
          </w:r>
        </w:p>
      </w:tc>
      <w:tc>
        <w:tcPr>
          <w:tcW w:w="5039" w:type="dxa"/>
        </w:tcPr>
        <w:p w14:paraId="00000068" w14:textId="77777777" w:rsidR="00680606" w:rsidRDefault="00680606">
          <w:pPr>
            <w:pBdr>
              <w:top w:val="nil"/>
              <w:left w:val="nil"/>
              <w:bottom w:val="nil"/>
              <w:right w:val="nil"/>
              <w:between w:val="nil"/>
            </w:pBdr>
            <w:tabs>
              <w:tab w:val="center" w:pos="4680"/>
              <w:tab w:val="right" w:pos="9360"/>
            </w:tabs>
            <w:jc w:val="right"/>
            <w:rPr>
              <w:color w:val="000000"/>
            </w:rPr>
          </w:pPr>
        </w:p>
      </w:tc>
    </w:tr>
    <w:tr w:rsidR="00680606" w14:paraId="174761C9" w14:textId="77777777">
      <w:tc>
        <w:tcPr>
          <w:tcW w:w="5041" w:type="dxa"/>
        </w:tcPr>
        <w:p w14:paraId="00000069" w14:textId="77777777" w:rsidR="00680606" w:rsidRDefault="001E4D95">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9" w:type="dxa"/>
        </w:tcPr>
        <w:p w14:paraId="0000006A" w14:textId="77777777" w:rsidR="00680606" w:rsidRDefault="001E4D95">
          <w:pPr>
            <w:pBdr>
              <w:top w:val="nil"/>
              <w:left w:val="nil"/>
              <w:bottom w:val="nil"/>
              <w:right w:val="nil"/>
              <w:between w:val="nil"/>
            </w:pBdr>
            <w:tabs>
              <w:tab w:val="center" w:pos="4680"/>
              <w:tab w:val="right" w:pos="9360"/>
            </w:tabs>
            <w:jc w:val="right"/>
            <w:rPr>
              <w:color w:val="000000"/>
            </w:rPr>
          </w:pPr>
          <w:hyperlink r:id="rId2">
            <w:r>
              <w:rPr>
                <w:color w:val="0000FF"/>
                <w:u w:val="single"/>
              </w:rPr>
              <w:t>gbcnv.edu/career/</w:t>
            </w:r>
          </w:hyperlink>
        </w:p>
      </w:tc>
      <w:tc>
        <w:tcPr>
          <w:tcW w:w="5039" w:type="dxa"/>
        </w:tcPr>
        <w:p w14:paraId="0000006B" w14:textId="77777777" w:rsidR="00680606" w:rsidRDefault="001E4D95">
          <w:pPr>
            <w:pBdr>
              <w:top w:val="nil"/>
              <w:left w:val="nil"/>
              <w:bottom w:val="nil"/>
              <w:right w:val="nil"/>
              <w:between w:val="nil"/>
            </w:pBdr>
            <w:tabs>
              <w:tab w:val="center" w:pos="4680"/>
              <w:tab w:val="right" w:pos="9360"/>
            </w:tabs>
            <w:jc w:val="right"/>
            <w:rPr>
              <w:color w:val="000000"/>
            </w:rPr>
          </w:pPr>
          <w:hyperlink r:id="rId3">
            <w:r>
              <w:rPr>
                <w:color w:val="0000FF"/>
                <w:u w:val="single"/>
              </w:rPr>
              <w:t>counseling@wnc.edu</w:t>
            </w:r>
          </w:hyperlink>
        </w:p>
      </w:tc>
    </w:tr>
  </w:tbl>
  <w:p w14:paraId="0000006C" w14:textId="77777777" w:rsidR="00680606" w:rsidRDefault="006806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8C8B" w14:textId="77777777" w:rsidR="00000000" w:rsidRDefault="001E4D95">
      <w:pPr>
        <w:spacing w:after="0" w:line="240" w:lineRule="auto"/>
      </w:pPr>
      <w:r>
        <w:separator/>
      </w:r>
    </w:p>
  </w:footnote>
  <w:footnote w:type="continuationSeparator" w:id="0">
    <w:p w14:paraId="05F5ECE3" w14:textId="77777777" w:rsidR="00000000" w:rsidRDefault="001E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77777777" w:rsidR="00680606" w:rsidRDefault="001E4D95">
    <w:pPr>
      <w:pBdr>
        <w:top w:val="nil"/>
        <w:left w:val="nil"/>
        <w:bottom w:val="nil"/>
        <w:right w:val="nil"/>
        <w:between w:val="nil"/>
      </w:pBdr>
      <w:tabs>
        <w:tab w:val="center" w:pos="4680"/>
        <w:tab w:val="right" w:pos="9360"/>
      </w:tabs>
      <w:spacing w:after="240" w:line="240" w:lineRule="auto"/>
      <w:rPr>
        <w:color w:val="000000"/>
      </w:rPr>
    </w:pPr>
    <w:r>
      <w:rPr>
        <w:color w:val="000000"/>
      </w:rPr>
      <w:t>Academic Year: 2021-22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6"/>
    <w:rsid w:val="001E4D95"/>
    <w:rsid w:val="0068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3E6D"/>
  <w15:docId w15:val="{BE1A782B-72AE-4E1C-86C5-9EF7A73A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after="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unhideWhenUsed/>
    <w:qFormat/>
    <w:rsid w:val="005C47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after="0"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after="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wSjb2VKgMoZira2hzr51BfnLw==">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2021-11-11T23:30:00Z</dcterms:created>
  <dcterms:modified xsi:type="dcterms:W3CDTF">2021-11-11T23:30:00Z</dcterms:modified>
</cp:coreProperties>
</file>