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64" w:rsidRDefault="00B94464" w:rsidP="00D201A2">
      <w:pPr>
        <w:spacing w:after="200" w:line="276" w:lineRule="auto"/>
        <w:contextualSpacing/>
        <w:jc w:val="center"/>
        <w:rPr>
          <w:rFonts w:ascii="Calibri" w:eastAsia="Calibri" w:hAnsi="Calibri" w:cs="Times New Roman"/>
          <w:sz w:val="44"/>
        </w:rPr>
      </w:pPr>
      <w:r>
        <w:rPr>
          <w:rFonts w:ascii="Calibri" w:eastAsia="Calibri" w:hAnsi="Calibri" w:cs="Times New Roman"/>
          <w:sz w:val="44"/>
        </w:rPr>
        <w:t>Great Basin College</w:t>
      </w:r>
    </w:p>
    <w:p w:rsidR="00D201A2" w:rsidRPr="00D201A2" w:rsidRDefault="00D201A2" w:rsidP="00D201A2">
      <w:pPr>
        <w:spacing w:after="200" w:line="276" w:lineRule="auto"/>
        <w:contextualSpacing/>
        <w:jc w:val="center"/>
        <w:rPr>
          <w:rFonts w:ascii="Calibri" w:eastAsia="Calibri" w:hAnsi="Calibri" w:cs="Times New Roman"/>
          <w:sz w:val="44"/>
        </w:rPr>
      </w:pPr>
      <w:r w:rsidRPr="00D201A2">
        <w:rPr>
          <w:rFonts w:ascii="Calibri" w:eastAsia="Calibri" w:hAnsi="Calibri" w:cs="Times New Roman"/>
          <w:sz w:val="44"/>
        </w:rPr>
        <w:t>2014-2021 Institutional Strategic Plan</w:t>
      </w:r>
    </w:p>
    <w:p w:rsidR="00D201A2" w:rsidRPr="00D201A2" w:rsidRDefault="00D201A2" w:rsidP="00D201A2">
      <w:pPr>
        <w:spacing w:after="200" w:line="276" w:lineRule="auto"/>
        <w:contextualSpacing/>
        <w:rPr>
          <w:rFonts w:ascii="Calibri" w:eastAsia="Calibri" w:hAnsi="Calibri" w:cs="Times New Roman"/>
          <w:sz w:val="24"/>
        </w:rPr>
      </w:pPr>
    </w:p>
    <w:p w:rsidR="00D201A2" w:rsidRPr="00D201A2" w:rsidRDefault="00D201A2" w:rsidP="00D201A2">
      <w:pPr>
        <w:spacing w:after="0" w:line="240" w:lineRule="auto"/>
        <w:contextualSpacing/>
        <w:rPr>
          <w:rFonts w:ascii="Calibri" w:eastAsia="Calibri" w:hAnsi="Calibri" w:cs="Times New Roman"/>
          <w:sz w:val="24"/>
        </w:rPr>
      </w:pPr>
      <w:r w:rsidRPr="00D201A2">
        <w:rPr>
          <w:rFonts w:ascii="Calibri" w:eastAsia="Calibri" w:hAnsi="Calibri" w:cs="Times New Roman"/>
          <w:sz w:val="24"/>
        </w:rPr>
        <w:t xml:space="preserve">The GBC Institutional Strategic Plan is strongly based in its institutional core themes as approved by the Board of Regents of the Nevada System of Higher Education. The objectives, indicators, and expectations of these core themes are published in GBC’s Year One Self Study report submitted to the Northwest Commission on Colleges and Universities in March, 2014. The core themes are in turn derived from the GBC Mission. The three central core themes imbedded in the GBC Strategic Plan are </w:t>
      </w:r>
      <w:r w:rsidRPr="00D201A2">
        <w:rPr>
          <w:rFonts w:ascii="Calibri" w:eastAsia="Calibri" w:hAnsi="Calibri" w:cs="Times New Roman"/>
          <w:i/>
          <w:sz w:val="24"/>
        </w:rPr>
        <w:t>Provide Student Enrichment</w:t>
      </w:r>
      <w:r w:rsidRPr="00D201A2">
        <w:rPr>
          <w:rFonts w:ascii="Calibri" w:eastAsia="Calibri" w:hAnsi="Calibri" w:cs="Times New Roman"/>
          <w:sz w:val="24"/>
        </w:rPr>
        <w:t xml:space="preserve">, </w:t>
      </w:r>
      <w:r w:rsidRPr="00D201A2">
        <w:rPr>
          <w:rFonts w:ascii="Calibri" w:eastAsia="Calibri" w:hAnsi="Calibri" w:cs="Times New Roman"/>
          <w:i/>
          <w:sz w:val="24"/>
        </w:rPr>
        <w:t>Build Bridges and Create Partnerships</w:t>
      </w:r>
      <w:r w:rsidRPr="00D201A2">
        <w:rPr>
          <w:rFonts w:ascii="Calibri" w:eastAsia="Calibri" w:hAnsi="Calibri" w:cs="Times New Roman"/>
          <w:sz w:val="24"/>
        </w:rPr>
        <w:t xml:space="preserve">, and </w:t>
      </w:r>
      <w:r w:rsidRPr="00D201A2">
        <w:rPr>
          <w:rFonts w:ascii="Calibri" w:eastAsia="Calibri" w:hAnsi="Calibri" w:cs="Times New Roman"/>
          <w:i/>
          <w:sz w:val="24"/>
        </w:rPr>
        <w:t>Serve Rural Nevada</w:t>
      </w:r>
      <w:r w:rsidRPr="00D201A2">
        <w:rPr>
          <w:rFonts w:ascii="Calibri" w:eastAsia="Calibri" w:hAnsi="Calibri" w:cs="Times New Roman"/>
          <w:sz w:val="24"/>
        </w:rPr>
        <w:t>. For each indicator and expectation present</w:t>
      </w:r>
      <w:r w:rsidR="00B94464">
        <w:rPr>
          <w:rFonts w:ascii="Calibri" w:eastAsia="Calibri" w:hAnsi="Calibri" w:cs="Times New Roman"/>
          <w:sz w:val="24"/>
        </w:rPr>
        <w:t>ed in this document</w:t>
      </w:r>
      <w:r w:rsidRPr="00D201A2">
        <w:rPr>
          <w:rFonts w:ascii="Calibri" w:eastAsia="Calibri" w:hAnsi="Calibri" w:cs="Times New Roman"/>
          <w:sz w:val="24"/>
        </w:rPr>
        <w:t>, the supporting metrics and data are presented</w:t>
      </w:r>
      <w:r w:rsidR="00B94464">
        <w:rPr>
          <w:rFonts w:ascii="Calibri" w:eastAsia="Calibri" w:hAnsi="Calibri" w:cs="Times New Roman"/>
          <w:sz w:val="24"/>
        </w:rPr>
        <w:t xml:space="preserve"> in greater detail in GBC’s Core Theme Objectives, Indicators and Expectations</w:t>
      </w:r>
      <w:r w:rsidRPr="00D201A2">
        <w:rPr>
          <w:rFonts w:ascii="Calibri" w:eastAsia="Calibri" w:hAnsi="Calibri" w:cs="Times New Roman"/>
          <w:sz w:val="24"/>
        </w:rPr>
        <w:t>.</w:t>
      </w:r>
    </w:p>
    <w:p w:rsidR="00D201A2" w:rsidRPr="00D201A2" w:rsidRDefault="00D201A2" w:rsidP="00D201A2">
      <w:pPr>
        <w:spacing w:after="0" w:line="240" w:lineRule="auto"/>
        <w:contextualSpacing/>
        <w:rPr>
          <w:rFonts w:ascii="Calibri" w:eastAsia="Calibri" w:hAnsi="Calibri" w:cs="Times New Roman"/>
          <w:sz w:val="24"/>
        </w:rPr>
      </w:pPr>
    </w:p>
    <w:tbl>
      <w:tblPr>
        <w:tblStyle w:val="TableGrid"/>
        <w:tblW w:w="0" w:type="auto"/>
        <w:tblLayout w:type="fixed"/>
        <w:tblLook w:val="04A0" w:firstRow="1" w:lastRow="0" w:firstColumn="1" w:lastColumn="0" w:noHBand="0" w:noVBand="1"/>
      </w:tblPr>
      <w:tblGrid>
        <w:gridCol w:w="445"/>
        <w:gridCol w:w="3090"/>
        <w:gridCol w:w="2775"/>
        <w:gridCol w:w="3168"/>
        <w:gridCol w:w="1589"/>
        <w:gridCol w:w="1610"/>
        <w:gridCol w:w="1137"/>
      </w:tblGrid>
      <w:tr w:rsidR="00D201A2" w:rsidRPr="00D201A2" w:rsidTr="00D201A2">
        <w:tc>
          <w:tcPr>
            <w:tcW w:w="13814" w:type="dxa"/>
            <w:gridSpan w:val="7"/>
            <w:shd w:val="clear" w:color="auto" w:fill="EAF1DD"/>
          </w:tcPr>
          <w:p w:rsidR="00D201A2" w:rsidRPr="00D201A2" w:rsidRDefault="00D201A2" w:rsidP="00D201A2">
            <w:pPr>
              <w:tabs>
                <w:tab w:val="left" w:pos="1770"/>
              </w:tabs>
              <w:rPr>
                <w:rFonts w:ascii="Calibri" w:eastAsia="Calibri" w:hAnsi="Calibri" w:cs="Times New Roman"/>
                <w:b/>
                <w:sz w:val="24"/>
                <w:szCs w:val="24"/>
              </w:rPr>
            </w:pPr>
            <w:r w:rsidRPr="00D201A2">
              <w:rPr>
                <w:rFonts w:ascii="Calibri" w:eastAsia="Calibri" w:hAnsi="Calibri" w:cs="Times New Roman"/>
                <w:b/>
                <w:sz w:val="24"/>
                <w:szCs w:val="24"/>
              </w:rPr>
              <w:tab/>
            </w:r>
          </w:p>
          <w:p w:rsidR="00D201A2" w:rsidRPr="00D201A2" w:rsidRDefault="00D201A2" w:rsidP="00D201A2">
            <w:pPr>
              <w:jc w:val="center"/>
              <w:rPr>
                <w:rFonts w:ascii="Calibri" w:eastAsia="Calibri" w:hAnsi="Calibri" w:cs="Times New Roman"/>
                <w:b/>
                <w:sz w:val="28"/>
                <w:szCs w:val="24"/>
              </w:rPr>
            </w:pPr>
            <w:r w:rsidRPr="00D201A2">
              <w:rPr>
                <w:rFonts w:ascii="Calibri" w:eastAsia="Calibri" w:hAnsi="Calibri" w:cs="Times New Roman"/>
                <w:b/>
                <w:sz w:val="28"/>
                <w:szCs w:val="24"/>
              </w:rPr>
              <w:t>Core Theme One: Provide Student Enrichment</w:t>
            </w:r>
          </w:p>
          <w:p w:rsidR="00D201A2" w:rsidRPr="00D201A2" w:rsidRDefault="00D201A2" w:rsidP="00D201A2">
            <w:pPr>
              <w:jc w:val="center"/>
              <w:rPr>
                <w:rFonts w:ascii="Calibri" w:eastAsia="Calibri" w:hAnsi="Calibri" w:cs="Times New Roman"/>
                <w:b/>
                <w:sz w:val="24"/>
                <w:szCs w:val="24"/>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1.1:  Provide Educational Opportunities</w:t>
            </w:r>
          </w:p>
          <w:p w:rsidR="00D201A2" w:rsidRPr="00D201A2" w:rsidRDefault="00D201A2" w:rsidP="00D201A2">
            <w:pPr>
              <w:rPr>
                <w:rFonts w:ascii="Calibri" w:eastAsia="Calibri" w:hAnsi="Calibri" w:cs="Times New Roman"/>
                <w:b/>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Number and types of programs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or increase number of programs that exceed low-yield policy requirement of 20 or more graduates every three years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Develop additional selected baccalaureate degrees in each major discipline are (e.g., technology, health, science etc.).</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Increase resources for new degrees.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Sustaining current programs.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Expand the capacity for welding, in particular expand the welding shop in Elko.</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5. Seek opportunities to provide more health care programs outside of Elko.</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VPAA and Departments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President, Foundation Director, Grants Director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President, VPAA Deans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President, Foundation Director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5. VPAA, Dean HS&amp;HS, Grants Director</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Begin discussions fall 2014, development and launch within two years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2-5.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Number and qualifications of full-time faculty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Raise number and overall qualifications through time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Hire additional best qualified full time faculty as resources permit.</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Increase resources to assist increasing qualifications of faculty.</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VPs and President, assisted by Department Chairs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Ongoing priority in hiring decisions.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Ongoing as resources permit</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Full-time/adjunct faculty ratio</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60%/40% FT/PT ratio</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 review of data from past year each summer.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Establish annual goals with department chairs for each discipline.</w:t>
            </w:r>
          </w:p>
        </w:tc>
        <w:tc>
          <w:tcPr>
            <w:tcW w:w="1589" w:type="dxa"/>
          </w:tcPr>
          <w:p w:rsidR="00D201A2" w:rsidRPr="00D201A2" w:rsidRDefault="00D201A2" w:rsidP="00D201A2">
            <w:pPr>
              <w:rPr>
                <w:rFonts w:ascii="Calibri" w:eastAsia="Calibri" w:hAnsi="Calibri" w:cs="Times New Roman"/>
              </w:rPr>
            </w:pPr>
            <w:r w:rsidRPr="00D201A2">
              <w:rPr>
                <w:rFonts w:ascii="Calibri" w:eastAsia="Calibri" w:hAnsi="Calibri" w:cs="Times New Roman"/>
                <w:sz w:val="18"/>
                <w:szCs w:val="18"/>
              </w:rPr>
              <w:t>1, 2.  VPs and President, assisted by Department Chairs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d.</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Financial resources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a. Maintain financial resources that exceed or are with 10% of those for the IPEDS peer group in categories except "Other". b. Within institutional limits of authority, work to maintain or increase annual $/FTE. </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c. Desire to have student fees below or within 10% of IPEDS peer group. </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Enhance funding through growth in enrollment</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Legislative advocacy</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Pursue appropriate grants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Establish partnerships with business and industry</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Seek private donations</w:t>
            </w: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President VPs, Deans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President</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Grants Director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Deans and Dir. of Continuing Ed</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Foundation Director</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1-5. Ongoing</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Human resources to support students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numbers reasonably close to the peer group, and adjust as necessary</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time IPEDS reports are received, review the distribution of employees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President, VPs</w:t>
            </w:r>
          </w:p>
          <w:p w:rsidR="00D201A2" w:rsidRPr="00D201A2" w:rsidRDefault="00D201A2" w:rsidP="00D201A2">
            <w:pPr>
              <w:rPr>
                <w:rFonts w:ascii="Calibri" w:eastAsia="Calibri" w:hAnsi="Calibri" w:cs="Times New Roman"/>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f.</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Students attaining educational goals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Be within 10% of the national median</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Monitor graduation rates, transfer numbers, military entrants and those taking and students passing classes and not returning.</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IR,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rPr>
            </w:pPr>
            <w:r w:rsidRPr="00D201A2">
              <w:rPr>
                <w:rFonts w:ascii="Calibri" w:eastAsia="Calibri" w:hAnsi="Calibri" w:cs="Times New Roman"/>
                <w:sz w:val="18"/>
                <w:szCs w:val="18"/>
              </w:rPr>
              <w:t>g</w:t>
            </w:r>
            <w:r w:rsidRPr="00D201A2">
              <w:rPr>
                <w:rFonts w:ascii="Calibri" w:eastAsia="Calibri" w:hAnsi="Calibri" w:cs="Times New Roman"/>
              </w:rPr>
              <w:t>.</w:t>
            </w:r>
          </w:p>
        </w:tc>
        <w:tc>
          <w:tcPr>
            <w:tcW w:w="3090" w:type="dxa"/>
          </w:tcPr>
          <w:p w:rsidR="00D201A2" w:rsidRPr="00D201A2" w:rsidRDefault="00D201A2" w:rsidP="00D201A2">
            <w:pPr>
              <w:rPr>
                <w:rFonts w:ascii="Cambria" w:eastAsia="Calibri" w:hAnsi="Cambria" w:cs="Times New Roman"/>
                <w:sz w:val="18"/>
                <w:szCs w:val="18"/>
              </w:rPr>
            </w:pPr>
            <w:r w:rsidRPr="00D201A2">
              <w:rPr>
                <w:rFonts w:ascii="Calibri" w:eastAsia="Calibri" w:hAnsi="Calibri" w:cs="Times New Roman"/>
                <w:sz w:val="18"/>
                <w:szCs w:val="18"/>
              </w:rPr>
              <w:t>Completion rates</w:t>
            </w:r>
            <w:r w:rsidRPr="00D201A2">
              <w:rPr>
                <w:rFonts w:ascii="Cambria" w:eastAsia="Calibri" w:hAnsi="Cambria" w:cs="Times New Roman"/>
                <w:sz w:val="18"/>
                <w:szCs w:val="18"/>
              </w:rPr>
              <w:t xml:space="preserve">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Exceed or be within 10% of the national median for courses. Exceed or be within 5% of the national median for IPEDS 6-year graduation rates</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Support the NSHE 15 to finish campaign.</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Emphasize intervention – Early Alert program</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3.  &lt;30 credit Pathways skill certificates.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VPAA, VPSS Deans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VPAA, VPSS Deans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Immediate and ongoing.</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2-3.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rPr>
          <w:trHeight w:val="530"/>
        </w:trPr>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h.</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Persistence rates for new students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Exceed or be within 10% of the national median</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Hire retention specialist as resources permit.</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Improve advising.</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3.  Enhance Academic Success Center function for retention.</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 VPAA, Deans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3. ASC Director</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Fall 2016</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2-3.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rPr>
            </w:pPr>
            <w:proofErr w:type="spellStart"/>
            <w:r w:rsidRPr="00D201A2">
              <w:rPr>
                <w:rFonts w:ascii="Calibri" w:eastAsia="Calibri" w:hAnsi="Calibri" w:cs="Times New Roman"/>
                <w:sz w:val="18"/>
                <w:szCs w:val="18"/>
              </w:rPr>
              <w:lastRenderedPageBreak/>
              <w:t>i</w:t>
            </w:r>
            <w:proofErr w:type="spellEnd"/>
            <w:r w:rsidRPr="00D201A2">
              <w:rPr>
                <w:rFonts w:ascii="Calibri" w:eastAsia="Calibri" w:hAnsi="Calibri" w:cs="Times New Roman"/>
              </w:rPr>
              <w:t>.</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Student satisfaction ratings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at least 85% for these questions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Administer student satisfaction survey and work on weak areas.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Student focus groups.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IR and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Biannually starting 2015</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p w:rsidR="00D201A2" w:rsidRPr="00D201A2" w:rsidRDefault="00D201A2" w:rsidP="00D201A2">
            <w:pPr>
              <w:rPr>
                <w:rFonts w:ascii="Calibri" w:eastAsia="Calibri" w:hAnsi="Calibri" w:cs="Times New Roman"/>
                <w:sz w:val="18"/>
                <w:szCs w:val="18"/>
              </w:rPr>
            </w:pPr>
          </w:p>
        </w:tc>
        <w:tc>
          <w:tcPr>
            <w:tcW w:w="1137" w:type="dxa"/>
          </w:tcPr>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1.2:  Foster Cultural Awareness</w:t>
            </w:r>
          </w:p>
          <w:p w:rsidR="00D201A2" w:rsidRPr="00D201A2" w:rsidRDefault="00D201A2" w:rsidP="00D201A2">
            <w:pPr>
              <w:jc w:val="both"/>
              <w:rPr>
                <w:rFonts w:ascii="Calibri" w:eastAsia="Calibri" w:hAnsi="Calibri" w:cs="Times New Roman"/>
                <w:b/>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Demographics of GBC and the service area</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Students should be within 5% of the population of the GBC service area</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of the service area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determine appropriate actions as deemed necessary.</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VPSS, IR</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Biannually starting 2015</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students enrolled (duplicated) in general education classes meeting personal and cultural awareness outcomes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or increase percentage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Increase the number of students taking general education courses through increased baccalaureate and gen. ed. course offerings.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VPAA, Gen. Ed. Faculty.</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Fall 2017</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Student satisfaction ratings from targeted questions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at least 75% for each item</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Taken from administered surveys.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Focus groups</w:t>
            </w: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VPSS and IR</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2. VPSS </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Summer following survey administration.</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1.3:  Provide curricula and programs for careers</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and types of career directed degrees and certificates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or expand the list</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Maintain current array of offerings.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Add new career oriented offerings as request by business and industry.</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VPAA</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President, VPAA &amp; faculty.</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Ongoing</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As opportunities are identified.</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Job placement rates for programs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At least 80% employed within 6 months to a year of graduation.</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Gather data from TAACCCT III</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Create a placement office with staff.</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TAACCCT Grant Staff.</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Summer 2017</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Advancement in studies following completion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90% or increase percentages continuing with education. Monitor GBC proportions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Check through student data clearing house.</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2. Develop a campaign to have certificate, associate and bachelor’s </w:t>
            </w:r>
            <w:r w:rsidRPr="00D201A2">
              <w:rPr>
                <w:rFonts w:ascii="Calibri" w:eastAsia="Calibri" w:hAnsi="Calibri" w:cs="Times New Roman"/>
                <w:sz w:val="18"/>
                <w:szCs w:val="18"/>
              </w:rPr>
              <w:lastRenderedPageBreak/>
              <w:t>degree recipients consider follow-on educational options.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Marketing pathways (laddering options)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Intense program marketing of online BAS programs in collaboration with other Nevada community colleges.</w:t>
            </w: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VPAA and IR.</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VPAA &amp;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3. Pathways Coordinator</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VPSS, Program Supervisors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lastRenderedPageBreak/>
              <w:t>1. Annually, during late fall semester.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2-4. TBA</w:t>
            </w:r>
          </w:p>
        </w:tc>
        <w:tc>
          <w:tcPr>
            <w:tcW w:w="1137" w:type="dxa"/>
          </w:tcPr>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EAF1DD"/>
          </w:tcPr>
          <w:p w:rsidR="00D201A2" w:rsidRPr="00D201A2" w:rsidRDefault="00D201A2" w:rsidP="00D201A2">
            <w:pPr>
              <w:jc w:val="center"/>
              <w:rPr>
                <w:rFonts w:ascii="Calibri" w:eastAsia="Calibri" w:hAnsi="Calibri" w:cs="Times New Roman"/>
                <w:b/>
                <w:sz w:val="24"/>
                <w:szCs w:val="24"/>
              </w:rPr>
            </w:pPr>
          </w:p>
          <w:p w:rsidR="00D201A2" w:rsidRPr="00D201A2" w:rsidRDefault="00D201A2" w:rsidP="00D201A2">
            <w:pPr>
              <w:jc w:val="center"/>
              <w:rPr>
                <w:rFonts w:ascii="Calibri" w:eastAsia="Calibri" w:hAnsi="Calibri" w:cs="Times New Roman"/>
                <w:b/>
                <w:sz w:val="28"/>
                <w:szCs w:val="24"/>
              </w:rPr>
            </w:pPr>
            <w:r w:rsidRPr="00D201A2">
              <w:rPr>
                <w:rFonts w:ascii="Calibri" w:eastAsia="Calibri" w:hAnsi="Calibri" w:cs="Times New Roman"/>
                <w:b/>
                <w:sz w:val="28"/>
                <w:szCs w:val="24"/>
              </w:rPr>
              <w:t>Core Theme Two:  Build Bridges and Create Partnerships</w:t>
            </w:r>
          </w:p>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2.1:  Facilitate seamless transfer of student between high school, community college and universities</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Performance of first-year students enrolling in remedial and college English and math</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a. Over time, increase percent of students enrolled in English and Math. Over time, increase percent of students passing these courses. Over time, increase proportion taking college rather than remedial. </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b. Exceed or be within 10% of the national median.</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Develop alternative courses for remedial education.</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Continue and develop partnerships with 10 counties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VPAA, IR, English and Math Faculty</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VPAA and Center Directors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TBA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Tech Prep headcount and number of credits and courses awarded</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an increasing trend over time</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1.  Add new service agreements for newly acquired service areas.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Dean AS, Tech Prep Coordinator</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Dual credit headcount and FTE</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continuing or increasing trend over time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Offer dual enrolment offering in newly acquired service area counties.</w:t>
            </w:r>
          </w:p>
          <w:p w:rsidR="00D201A2" w:rsidRPr="00D201A2" w:rsidRDefault="00D201A2" w:rsidP="00D201A2">
            <w:pPr>
              <w:shd w:val="clear" w:color="auto" w:fill="FFFFFF"/>
              <w:rPr>
                <w:rFonts w:ascii="Calibri" w:eastAsia="Calibri" w:hAnsi="Calibri" w:cs="Times New Roman"/>
                <w:sz w:val="18"/>
                <w:szCs w:val="18"/>
              </w:rPr>
            </w:pPr>
            <w:r w:rsidRPr="00D201A2">
              <w:rPr>
                <w:rFonts w:ascii="Calibri" w:eastAsia="Calibri" w:hAnsi="Calibri" w:cs="Times New Roman"/>
                <w:sz w:val="18"/>
                <w:szCs w:val="18"/>
              </w:rPr>
              <w:t>2.  Develop and promote more dual credit master agreements and dual credit pathways for all school districts in GBC service area.</w:t>
            </w:r>
          </w:p>
          <w:p w:rsidR="00D201A2" w:rsidRPr="00D201A2" w:rsidRDefault="00D201A2" w:rsidP="00D201A2">
            <w:pPr>
              <w:shd w:val="clear" w:color="auto" w:fill="FFFFFF"/>
              <w:rPr>
                <w:rFonts w:ascii="Calibri" w:eastAsia="Calibri" w:hAnsi="Calibri" w:cs="Times New Roman"/>
                <w:sz w:val="18"/>
                <w:szCs w:val="18"/>
              </w:rPr>
            </w:pPr>
            <w:r w:rsidRPr="00D201A2">
              <w:rPr>
                <w:rFonts w:ascii="Calibri" w:eastAsia="Calibri" w:hAnsi="Calibri" w:cs="Times New Roman"/>
                <w:sz w:val="18"/>
                <w:szCs w:val="18"/>
              </w:rPr>
              <w:t>3.  Report current success rate of dual credit participation (by district).</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VPAA, Director of Continuing Ed</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IR, VPAA</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ASAP, 14/15 academic yr.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TBA</w:t>
            </w:r>
          </w:p>
          <w:p w:rsidR="00D201A2" w:rsidRPr="00D201A2" w:rsidRDefault="00D201A2" w:rsidP="00D201A2">
            <w:pPr>
              <w:rPr>
                <w:rFonts w:ascii="Calibri" w:eastAsia="Calibri" w:hAnsi="Calibri" w:cs="Times New Roman"/>
                <w:sz w:val="18"/>
                <w:szCs w:val="18"/>
              </w:rPr>
            </w:pP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d.</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Transfer rates, both external and internal continuation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continuing or increasing trend over time</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Recruit and mentor</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Develop more 2+2 programs.</w:t>
            </w: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Office of VPAA, IR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TBA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students transferring into GBC</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continuing or increasing trend over time</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Recruit and mentor.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Improve marketing efforts.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Spring 2014</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2.2 Build and sustain workforce programs</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contract training classes offered</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continued effort over time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w:t>
            </w:r>
            <w:r w:rsidRPr="00D201A2">
              <w:rPr>
                <w:rFonts w:ascii="Calibri" w:eastAsia="Calibri" w:hAnsi="Calibri" w:cs="Times New Roman"/>
              </w:rPr>
              <w:t xml:space="preserve">.  </w:t>
            </w:r>
            <w:r w:rsidRPr="00D201A2">
              <w:rPr>
                <w:rFonts w:ascii="Calibri" w:eastAsia="Calibri" w:hAnsi="Calibri" w:cs="Times New Roman"/>
                <w:sz w:val="18"/>
                <w:szCs w:val="18"/>
              </w:rPr>
              <w:t>Respond to industry needs.</w:t>
            </w:r>
          </w:p>
          <w:p w:rsidR="00D201A2" w:rsidRPr="00D201A2" w:rsidRDefault="00D201A2" w:rsidP="00D201A2">
            <w:pPr>
              <w:ind w:left="237" w:hanging="237"/>
              <w:rPr>
                <w:rFonts w:ascii="Calibri" w:eastAsia="Calibri" w:hAnsi="Calibri" w:cs="Times New Roman"/>
                <w:sz w:val="18"/>
                <w:szCs w:val="18"/>
              </w:rPr>
            </w:pPr>
            <w:r w:rsidRPr="00D201A2">
              <w:rPr>
                <w:rFonts w:ascii="Calibri" w:eastAsia="Calibri" w:hAnsi="Calibri" w:cs="Times New Roman"/>
                <w:sz w:val="18"/>
                <w:szCs w:val="18"/>
              </w:rPr>
              <w:t>2.   Keeping current in technology.</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  </w:t>
            </w:r>
            <w:proofErr w:type="gramStart"/>
            <w:r w:rsidRPr="00D201A2">
              <w:rPr>
                <w:rFonts w:ascii="Calibri" w:eastAsia="Calibri" w:hAnsi="Calibri" w:cs="Times New Roman"/>
                <w:sz w:val="18"/>
                <w:szCs w:val="18"/>
              </w:rPr>
              <w:t>a.  Equipment</w:t>
            </w:r>
            <w:proofErr w:type="gramEnd"/>
            <w:r w:rsidRPr="00D201A2">
              <w:rPr>
                <w:rFonts w:ascii="Calibri" w:eastAsia="Calibri" w:hAnsi="Calibri" w:cs="Times New Roman"/>
                <w:sz w:val="18"/>
                <w:szCs w:val="18"/>
              </w:rPr>
              <w:t>.</w:t>
            </w:r>
          </w:p>
          <w:p w:rsidR="00D201A2" w:rsidRPr="00D201A2" w:rsidRDefault="00D201A2" w:rsidP="00D201A2">
            <w:pPr>
              <w:ind w:left="327" w:hanging="327"/>
              <w:rPr>
                <w:rFonts w:ascii="Calibri" w:eastAsia="Calibri" w:hAnsi="Calibri" w:cs="Times New Roman"/>
                <w:sz w:val="18"/>
                <w:szCs w:val="18"/>
              </w:rPr>
            </w:pPr>
            <w:r w:rsidRPr="00D201A2">
              <w:rPr>
                <w:rFonts w:ascii="Calibri" w:eastAsia="Calibri" w:hAnsi="Calibri" w:cs="Times New Roman"/>
                <w:sz w:val="18"/>
                <w:szCs w:val="18"/>
              </w:rPr>
              <w:t xml:space="preserve">  b.  Professional development for   faculty</w:t>
            </w:r>
          </w:p>
          <w:p w:rsidR="00D201A2" w:rsidRPr="00D201A2" w:rsidRDefault="00D201A2" w:rsidP="00D201A2">
            <w:pPr>
              <w:rPr>
                <w:rFonts w:ascii="Calibri" w:eastAsia="Calibri" w:hAnsi="Calibri" w:cs="Times New Roman"/>
              </w:rPr>
            </w:pPr>
            <w:r w:rsidRPr="00D201A2">
              <w:rPr>
                <w:rFonts w:ascii="Calibri" w:eastAsia="Calibri" w:hAnsi="Calibri" w:cs="Times New Roman"/>
                <w:sz w:val="18"/>
                <w:szCs w:val="18"/>
              </w:rPr>
              <w:t xml:space="preserve">3.  </w:t>
            </w:r>
            <w:r w:rsidRPr="00D201A2">
              <w:rPr>
                <w:rFonts w:ascii="Arial" w:eastAsia="Calibri" w:hAnsi="Arial" w:cs="Arial"/>
                <w:sz w:val="19"/>
                <w:szCs w:val="19"/>
                <w:shd w:val="clear" w:color="auto" w:fill="FFFFFF"/>
              </w:rPr>
              <w:t> </w:t>
            </w:r>
            <w:r w:rsidRPr="00D201A2">
              <w:rPr>
                <w:rFonts w:ascii="Calibri" w:eastAsia="Calibri" w:hAnsi="Calibri" w:cs="Times New Roman"/>
                <w:sz w:val="18"/>
                <w:szCs w:val="18"/>
              </w:rPr>
              <w:t xml:space="preserve">Market contract training programs to expand the number of courses offered and increase total enrollment.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Dean AS</w:t>
            </w:r>
          </w:p>
          <w:p w:rsidR="00D201A2" w:rsidRPr="00D201A2" w:rsidRDefault="00D201A2" w:rsidP="00D201A2">
            <w:pPr>
              <w:rPr>
                <w:rFonts w:ascii="Calibri" w:eastAsia="Calibri" w:hAnsi="Calibri" w:cs="Times New Roman"/>
                <w:sz w:val="18"/>
              </w:rPr>
            </w:pPr>
          </w:p>
          <w:p w:rsidR="00D201A2" w:rsidRPr="00D201A2" w:rsidRDefault="00D201A2" w:rsidP="00D201A2">
            <w:pPr>
              <w:rPr>
                <w:rFonts w:ascii="Calibri" w:eastAsia="Calibri" w:hAnsi="Calibri" w:cs="Times New Roman"/>
                <w:sz w:val="18"/>
              </w:rPr>
            </w:pPr>
          </w:p>
          <w:p w:rsidR="00D201A2" w:rsidRPr="00D201A2" w:rsidRDefault="00D201A2" w:rsidP="00D201A2">
            <w:pPr>
              <w:rPr>
                <w:rFonts w:ascii="Calibri" w:eastAsia="Calibri" w:hAnsi="Calibri" w:cs="Times New Roman"/>
                <w:sz w:val="18"/>
              </w:rPr>
            </w:pPr>
          </w:p>
          <w:p w:rsidR="00D201A2" w:rsidRPr="00D201A2" w:rsidRDefault="00D201A2" w:rsidP="00D201A2">
            <w:pPr>
              <w:rPr>
                <w:rFonts w:ascii="Calibri" w:eastAsia="Calibri" w:hAnsi="Calibri" w:cs="Times New Roman"/>
                <w:sz w:val="18"/>
              </w:rPr>
            </w:pPr>
          </w:p>
          <w:p w:rsidR="00D201A2" w:rsidRPr="00D201A2" w:rsidRDefault="00D201A2" w:rsidP="00D201A2">
            <w:pPr>
              <w:rPr>
                <w:rFonts w:ascii="Calibri" w:eastAsia="Calibri" w:hAnsi="Calibri" w:cs="Times New Roman"/>
                <w:sz w:val="18"/>
              </w:rPr>
            </w:pPr>
            <w:r w:rsidRPr="00D201A2">
              <w:rPr>
                <w:rFonts w:ascii="Calibri" w:eastAsia="Calibri" w:hAnsi="Calibri" w:cs="Times New Roman"/>
                <w:sz w:val="18"/>
              </w:rPr>
              <w:t xml:space="preserve">3. </w:t>
            </w:r>
            <w:r w:rsidRPr="00D201A2">
              <w:rPr>
                <w:rFonts w:ascii="Calibri" w:eastAsia="Calibri" w:hAnsi="Calibri" w:cs="Times New Roman"/>
                <w:sz w:val="18"/>
                <w:szCs w:val="18"/>
              </w:rPr>
              <w:t>Director of Continuing Ed</w:t>
            </w:r>
          </w:p>
        </w:tc>
        <w:tc>
          <w:tcPr>
            <w:tcW w:w="1610" w:type="dxa"/>
          </w:tcPr>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1-3.</w:t>
            </w:r>
            <w:r w:rsidRPr="00D201A2">
              <w:rPr>
                <w:rFonts w:ascii="Calibri" w:eastAsia="Calibri" w:hAnsi="Calibri" w:cs="Times New Roman"/>
                <w:b/>
              </w:rPr>
              <w:t xml:space="preserve"> </w:t>
            </w:r>
            <w:r w:rsidRPr="00D201A2">
              <w:rPr>
                <w:rFonts w:ascii="Calibri" w:eastAsia="Calibri" w:hAnsi="Calibri" w:cs="Times New Roman"/>
                <w:sz w:val="18"/>
                <w:szCs w:val="18"/>
              </w:rPr>
              <w:t>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Employer satisfaction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Exceed or be within 10% of the national median</w:t>
            </w:r>
          </w:p>
          <w:p w:rsidR="00D201A2" w:rsidRPr="00D201A2" w:rsidRDefault="00D201A2" w:rsidP="00D201A2">
            <w:pPr>
              <w:jc w:val="cente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Offer internships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2.  Insure timely response to industry needs.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Dean AS, Bach. Program Supervisors</w:t>
            </w:r>
          </w:p>
          <w:p w:rsidR="00D201A2" w:rsidRPr="00D201A2" w:rsidRDefault="00D201A2" w:rsidP="00D201A2">
            <w:pPr>
              <w:rPr>
                <w:rFonts w:ascii="Calibri" w:eastAsia="Calibri" w:hAnsi="Calibri" w:cs="Times New Roman"/>
                <w:b/>
              </w:rPr>
            </w:pPr>
            <w:r w:rsidRPr="00D201A2">
              <w:rPr>
                <w:rFonts w:ascii="Calibri" w:eastAsia="Calibri" w:hAnsi="Calibri" w:cs="Times New Roman"/>
                <w:sz w:val="18"/>
              </w:rPr>
              <w:t xml:space="preserve">2. </w:t>
            </w:r>
            <w:r w:rsidRPr="00D201A2">
              <w:rPr>
                <w:rFonts w:ascii="Calibri" w:eastAsia="Calibri" w:hAnsi="Calibri" w:cs="Times New Roman"/>
                <w:sz w:val="18"/>
                <w:szCs w:val="18"/>
              </w:rPr>
              <w:t xml:space="preserve"> Director of Continuing Ed</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Advisory boards and program committee meetings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All programs should have an advisory board that meets at least once annually</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Advisory board minutes submitted to VP or Deans.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Ensure response to industry needs.</w:t>
            </w:r>
          </w:p>
          <w:p w:rsidR="00D201A2" w:rsidRPr="00D201A2" w:rsidRDefault="00D201A2" w:rsidP="00D201A2">
            <w:pPr>
              <w:rPr>
                <w:rFonts w:ascii="Calibri" w:eastAsia="Calibri" w:hAnsi="Calibri" w:cs="Times New Roman"/>
                <w:sz w:val="18"/>
                <w:szCs w:val="18"/>
                <w:highlight w:val="green"/>
              </w:rPr>
            </w:pPr>
            <w:r w:rsidRPr="00D201A2">
              <w:rPr>
                <w:rFonts w:ascii="Calibri" w:eastAsia="Calibri" w:hAnsi="Calibri" w:cs="Times New Roman"/>
                <w:sz w:val="18"/>
                <w:szCs w:val="18"/>
              </w:rPr>
              <w:t xml:space="preserve">3. Increase the presence of partnerships (DETR, State of Nevada, </w:t>
            </w:r>
            <w:proofErr w:type="gramStart"/>
            <w:r w:rsidRPr="00D201A2">
              <w:rPr>
                <w:rFonts w:ascii="Calibri" w:eastAsia="Calibri" w:hAnsi="Calibri" w:cs="Times New Roman"/>
                <w:sz w:val="18"/>
                <w:szCs w:val="18"/>
              </w:rPr>
              <w:t>Department</w:t>
            </w:r>
            <w:proofErr w:type="gramEnd"/>
            <w:r w:rsidRPr="00D201A2">
              <w:rPr>
                <w:rFonts w:ascii="Calibri" w:eastAsia="Calibri" w:hAnsi="Calibri" w:cs="Times New Roman"/>
                <w:sz w:val="18"/>
                <w:szCs w:val="18"/>
              </w:rPr>
              <w:t xml:space="preserve"> of Veteran’s Services).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Deans of AS and HS&amp;HS, VPAA</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VPAA</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1-3.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d.</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External investment in programs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External revenue coming in to GBC should be sufficient to meet or exceed the needs. </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Monitor these investments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Stay current with technology.</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3.  Provide professional development for faculty to stay current with technology. </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Continue efforts to acquire acreage in Pahrump for a future campus.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Seek funding to develop facilities in Pahrump for offering workforce development programs.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6. Contingent on funding and facilities, offer a more workforce development programs in Pahrump.</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Foundation, Deans and VPAA</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3. Deans and VPAA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President</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President, Foundation Director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6. VPAA, Deans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2-6.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 xml:space="preserve">e. </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students participating in workplace experiences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continuing or increasing trend over time.</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1.  More paid internships </w:t>
            </w:r>
          </w:p>
        </w:tc>
        <w:tc>
          <w:tcPr>
            <w:tcW w:w="1589" w:type="dxa"/>
          </w:tcPr>
          <w:p w:rsidR="00D201A2" w:rsidRPr="00D201A2" w:rsidRDefault="00D201A2" w:rsidP="00D201A2">
            <w:pPr>
              <w:rPr>
                <w:rFonts w:ascii="Calibri" w:eastAsia="Calibri" w:hAnsi="Calibri" w:cs="Times New Roman"/>
                <w:sz w:val="18"/>
                <w:szCs w:val="18"/>
                <w:highlight w:val="yellow"/>
              </w:rPr>
            </w:pPr>
            <w:r w:rsidRPr="00D201A2">
              <w:rPr>
                <w:rFonts w:ascii="Calibri" w:eastAsia="Calibri" w:hAnsi="Calibri" w:cs="Times New Roman"/>
                <w:sz w:val="18"/>
                <w:szCs w:val="18"/>
              </w:rPr>
              <w:t>1.  Deans and Program Supervisors</w:t>
            </w:r>
          </w:p>
        </w:tc>
        <w:tc>
          <w:tcPr>
            <w:tcW w:w="1610" w:type="dxa"/>
          </w:tcPr>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1.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2.3 Support community needs</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 list indicating the number and range of partnerships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Engage in ongoing partnerships with a variety of community partners </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Foster and grow Arts and Cultural Enrichment (ACE) Committee events. </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Fulfill NEH grant activities within the required time frame. (The ACE committee will work closely with the NEH Humanities in Action Committee to fulfill NEH grant activities within the required time frame.)</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Director of Continuing Ed, VPAA</w:t>
            </w:r>
          </w:p>
          <w:p w:rsidR="00D201A2" w:rsidRPr="00D201A2" w:rsidRDefault="00D201A2" w:rsidP="00D201A2">
            <w:pPr>
              <w:rPr>
                <w:rFonts w:ascii="Calibri" w:eastAsia="Calibri" w:hAnsi="Calibri" w:cs="Times New Roman"/>
                <w:sz w:val="20"/>
              </w:rPr>
            </w:pPr>
            <w:r w:rsidRPr="00D201A2">
              <w:rPr>
                <w:rFonts w:ascii="Calibri" w:eastAsia="Calibri" w:hAnsi="Calibri" w:cs="Times New Roman"/>
                <w:sz w:val="18"/>
                <w:szCs w:val="18"/>
              </w:rPr>
              <w:t>2. Grants Director, Foundation Director</w:t>
            </w:r>
          </w:p>
        </w:tc>
        <w:tc>
          <w:tcPr>
            <w:tcW w:w="1610" w:type="dxa"/>
          </w:tcPr>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1.2.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A list indicating the number and range of community events and activities </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Engage in a variety of events and activities in different communities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activities from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plan the next year’s events and activities.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1,2. Director of Continuing Ed</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b/>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Faculty community service</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At least 70% of faculty will engage in community service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faculty evaluations for activities in community service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encourage faculty participation as necessary.</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b/>
              </w:rPr>
            </w:pPr>
          </w:p>
        </w:tc>
        <w:tc>
          <w:tcPr>
            <w:tcW w:w="1589" w:type="dxa"/>
          </w:tcPr>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1,2. VPAA</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D201A2">
        <w:tc>
          <w:tcPr>
            <w:tcW w:w="13814" w:type="dxa"/>
            <w:gridSpan w:val="7"/>
            <w:shd w:val="clear" w:color="auto" w:fill="EAF1DD"/>
          </w:tcPr>
          <w:p w:rsidR="00D201A2" w:rsidRPr="00D201A2" w:rsidRDefault="00D201A2" w:rsidP="00D201A2">
            <w:pPr>
              <w:jc w:val="center"/>
              <w:rPr>
                <w:rFonts w:ascii="Calibri" w:eastAsia="Calibri" w:hAnsi="Calibri" w:cs="Times New Roman"/>
                <w:b/>
                <w:sz w:val="24"/>
                <w:szCs w:val="24"/>
              </w:rPr>
            </w:pPr>
          </w:p>
          <w:p w:rsidR="00D201A2" w:rsidRPr="00D201A2" w:rsidRDefault="00D201A2" w:rsidP="00D201A2">
            <w:pPr>
              <w:jc w:val="center"/>
              <w:rPr>
                <w:rFonts w:ascii="Calibri" w:eastAsia="Calibri" w:hAnsi="Calibri" w:cs="Times New Roman"/>
                <w:b/>
                <w:sz w:val="28"/>
                <w:szCs w:val="24"/>
              </w:rPr>
            </w:pPr>
            <w:r w:rsidRPr="00D201A2">
              <w:rPr>
                <w:rFonts w:ascii="Calibri" w:eastAsia="Calibri" w:hAnsi="Calibri" w:cs="Times New Roman"/>
                <w:b/>
                <w:sz w:val="28"/>
                <w:szCs w:val="24"/>
              </w:rPr>
              <w:t>Core Theme Three: Serve Rural Nevada</w:t>
            </w:r>
          </w:p>
          <w:p w:rsidR="00D201A2" w:rsidRPr="00D201A2" w:rsidRDefault="00D201A2" w:rsidP="00D201A2">
            <w:pPr>
              <w:jc w:val="cente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3.1: Provide access to education to distant locations</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programs fully available online</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or increase the number of programs available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Review the general education program to assure appropriate and effective support a larger array of fully on-line degree.</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Market fully on-line programs, including collaboration with other Nevada community colleges.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VPAA, Faculty,  Director of On-line Education</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VPAA, VPSS, Deans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Spring 2015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By end of 2015</w:t>
            </w:r>
          </w:p>
          <w:p w:rsidR="00D201A2" w:rsidRPr="00D201A2" w:rsidRDefault="00D201A2" w:rsidP="00D201A2">
            <w:pPr>
              <w:rPr>
                <w:rFonts w:ascii="Calibri" w:eastAsia="Calibri" w:hAnsi="Calibri" w:cs="Times New Roman"/>
                <w:sz w:val="18"/>
                <w:szCs w:val="18"/>
              </w:rPr>
            </w:pP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Enrollment in distance education (online and IAV)</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or increase enrollment in distance education classes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Monitor these numbers for ongoing comparative purposes.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Garner GBC’s share of e-NCORE offerings.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Have GBC on-line course offerings quality matters certified.</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4.  Offer more lecture capture opportunities.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IR, VPAA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3. Director of On-line Education</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Director of On-line Education, IAV Coordinator</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late summer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Spring 2015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3-4.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Certificates and degree completions by location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Maintain a distribution of awards through the service area reflective of sites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certificates and degrees awarded by location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maximize the awards given at various sites.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IR, VPAA, Deans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1. Annually by August 15</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d.</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Retention rates by location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Retain students throughout the service area at comparable rates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retention rates by location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maximize the rates at various sites.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IR, VPAA</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e.</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Center and satellite site needs fulfilled by synchronized courses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Provide some level of synchronous class delivery at all locations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certificates and degrees awarded by location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maximize the awards given at various sites.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IR, VPAA, Deans</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b/>
              </w:rPr>
            </w:pPr>
            <w:r w:rsidRPr="00D201A2">
              <w:rPr>
                <w:rFonts w:ascii="Calibri" w:eastAsia="Calibri" w:hAnsi="Calibri" w:cs="Times New Roman"/>
                <w:sz w:val="18"/>
                <w:szCs w:val="18"/>
              </w:rPr>
              <w:t>2. TBA</w:t>
            </w:r>
          </w:p>
        </w:tc>
        <w:tc>
          <w:tcPr>
            <w:tcW w:w="1137" w:type="dxa"/>
          </w:tcPr>
          <w:p w:rsidR="00D201A2" w:rsidRPr="00D201A2" w:rsidRDefault="00D201A2" w:rsidP="00D201A2">
            <w:pPr>
              <w:jc w:val="center"/>
              <w:rPr>
                <w:rFonts w:ascii="Calibri" w:eastAsia="Calibri" w:hAnsi="Calibri" w:cs="Times New Roman"/>
                <w:b/>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3.2 Provide resources to meet needs of service area</w:t>
            </w:r>
          </w:p>
          <w:p w:rsidR="00D201A2" w:rsidRPr="00D201A2" w:rsidRDefault="00D201A2" w:rsidP="00D201A2">
            <w:pPr>
              <w:rPr>
                <w:rFonts w:ascii="Calibri" w:eastAsia="Calibri" w:hAnsi="Calibri" w:cs="Times New Roman"/>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of programs available at each center</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Provide the curricula not requiring specialty space and equipment for programs at sites centers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programs available by location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maximize the programs available at various sites.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Continue efforts to acquire acreage in Pahrump for a future campus.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Seek funding to develop facilities in Pahrump for offering workforce development programs.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Contingent on funding and facilities, offer a more workforce development programs in Pahrump.</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President</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4. President, Foundation Director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VPAA, Deans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1-5.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b.</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Demographics of service area students and population</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Gender and race/ethnicity demographics of the student population for should approximate that of the service area population.</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college demographics by location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make potential adjustments at various sites.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1,2.  VPSS</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Student satisfaction ratings by site</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For each question, 75% should indicate that they agree or strongly agree.</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time the survey is administered, review the results by location.</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review and assessment of resources, determine actions required to make potential adjustments at various sites.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1,2.  VPSS</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When assessment is given</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D201A2">
        <w:tc>
          <w:tcPr>
            <w:tcW w:w="13814" w:type="dxa"/>
            <w:gridSpan w:val="7"/>
            <w:shd w:val="clear" w:color="auto" w:fill="D6E3BC"/>
          </w:tcPr>
          <w:p w:rsidR="00D201A2" w:rsidRPr="00D201A2" w:rsidRDefault="00D201A2" w:rsidP="00D201A2">
            <w:pPr>
              <w:rPr>
                <w:rFonts w:ascii="Calibri" w:eastAsia="Calibri" w:hAnsi="Calibri" w:cs="Times New Roman"/>
                <w:b/>
                <w:sz w:val="24"/>
              </w:rPr>
            </w:pPr>
          </w:p>
          <w:p w:rsidR="00D201A2" w:rsidRPr="00D201A2" w:rsidRDefault="00D201A2" w:rsidP="00D201A2">
            <w:pPr>
              <w:rPr>
                <w:rFonts w:ascii="Calibri" w:eastAsia="Calibri" w:hAnsi="Calibri" w:cs="Times New Roman"/>
                <w:b/>
                <w:sz w:val="24"/>
              </w:rPr>
            </w:pPr>
            <w:r w:rsidRPr="00D201A2">
              <w:rPr>
                <w:rFonts w:ascii="Calibri" w:eastAsia="Calibri" w:hAnsi="Calibri" w:cs="Times New Roman"/>
                <w:b/>
                <w:sz w:val="24"/>
              </w:rPr>
              <w:t>Objective:  3.3 Provide needed services to all GBC sites</w:t>
            </w:r>
          </w:p>
          <w:p w:rsidR="00D201A2" w:rsidRPr="00D201A2" w:rsidRDefault="00D201A2" w:rsidP="00D201A2">
            <w:pPr>
              <w:rPr>
                <w:rFonts w:ascii="Calibri" w:eastAsia="Calibri" w:hAnsi="Calibri" w:cs="Times New Roman"/>
                <w:b/>
              </w:rPr>
            </w:pPr>
          </w:p>
        </w:tc>
      </w:tr>
      <w:tr w:rsidR="00D201A2" w:rsidRPr="00D201A2" w:rsidTr="00D201A2">
        <w:tc>
          <w:tcPr>
            <w:tcW w:w="3535" w:type="dxa"/>
            <w:gridSpan w:val="2"/>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Indicator</w:t>
            </w:r>
          </w:p>
        </w:tc>
        <w:tc>
          <w:tcPr>
            <w:tcW w:w="2775"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Expectation</w:t>
            </w:r>
          </w:p>
        </w:tc>
        <w:tc>
          <w:tcPr>
            <w:tcW w:w="3168"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Supporting Activity</w:t>
            </w:r>
          </w:p>
        </w:tc>
        <w:tc>
          <w:tcPr>
            <w:tcW w:w="1589" w:type="dxa"/>
            <w:shd w:val="clear" w:color="auto" w:fill="C2D69B"/>
          </w:tcPr>
          <w:p w:rsidR="00D201A2" w:rsidRPr="00D201A2" w:rsidRDefault="00D201A2" w:rsidP="00D201A2">
            <w:pPr>
              <w:jc w:val="center"/>
              <w:rPr>
                <w:rFonts w:ascii="Calibri" w:eastAsia="Calibri" w:hAnsi="Calibri" w:cs="Times New Roman"/>
                <w:b/>
              </w:rPr>
            </w:pPr>
            <w:r w:rsidRPr="00D201A2">
              <w:rPr>
                <w:rFonts w:ascii="Calibri" w:eastAsia="Calibri" w:hAnsi="Calibri" w:cs="Times New Roman"/>
                <w:b/>
              </w:rPr>
              <w:t>Assigned To</w:t>
            </w:r>
          </w:p>
        </w:tc>
        <w:tc>
          <w:tcPr>
            <w:tcW w:w="1610" w:type="dxa"/>
            <w:shd w:val="clear" w:color="auto" w:fill="C2D69B"/>
          </w:tcPr>
          <w:p w:rsidR="00D201A2" w:rsidRPr="00D201A2" w:rsidRDefault="00D201A2" w:rsidP="00D201A2">
            <w:pPr>
              <w:jc w:val="center"/>
              <w:rPr>
                <w:rFonts w:ascii="Calibri" w:eastAsia="Calibri" w:hAnsi="Calibri" w:cs="Times New Roman"/>
                <w:b/>
                <w:bCs/>
              </w:rPr>
            </w:pPr>
            <w:r w:rsidRPr="00D201A2">
              <w:rPr>
                <w:rFonts w:ascii="Calibri" w:eastAsia="Calibri" w:hAnsi="Calibri" w:cs="Times New Roman"/>
                <w:b/>
              </w:rPr>
              <w:t>Due Date</w:t>
            </w:r>
          </w:p>
        </w:tc>
        <w:tc>
          <w:tcPr>
            <w:tcW w:w="1137" w:type="dxa"/>
            <w:shd w:val="clear" w:color="auto" w:fill="C2D69B"/>
          </w:tcPr>
          <w:p w:rsidR="00D201A2" w:rsidRPr="00D201A2" w:rsidRDefault="00D201A2" w:rsidP="00D201A2">
            <w:pPr>
              <w:jc w:val="center"/>
              <w:rPr>
                <w:rFonts w:ascii="Calibri" w:eastAsia="Calibri" w:hAnsi="Calibri" w:cs="Times New Roman"/>
              </w:rPr>
            </w:pPr>
            <w:r w:rsidRPr="00D201A2">
              <w:rPr>
                <w:rFonts w:ascii="Calibri" w:eastAsia="Calibri" w:hAnsi="Calibri" w:cs="Times New Roman"/>
                <w:b/>
              </w:rPr>
              <w:t>Status</w:t>
            </w: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a.</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Availability of support services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At least some degree of availability at all sites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Expand library services.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Expand Library resources to support new degrees/programs.</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Enhance upper division course support.</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 xml:space="preserve">4.  Enhance resources and make them known to respective departments. </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Mental health counseling</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2. Library</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4. VPAA, Deans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5.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1-5.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 xml:space="preserve">b. </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Satisfaction with support services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Continuous improvement of responses over time</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time the survey is administered, review the results by location.</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review and assessment of resources, determine actions required to make potential adjustments at various sites.</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VPSS</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VPSS, VPAA</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When assessment is given</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c.</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Number and type continuing education classes</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Continue to provide continuing education opportunities throughout service area for community needs</w:t>
            </w:r>
          </w:p>
          <w:p w:rsidR="00D201A2" w:rsidRPr="00D201A2" w:rsidRDefault="00D201A2" w:rsidP="00D201A2">
            <w:pPr>
              <w:rPr>
                <w:rFonts w:ascii="Calibri" w:eastAsia="Calibri" w:hAnsi="Calibri" w:cs="Times New Roman"/>
                <w:sz w:val="18"/>
                <w:szCs w:val="18"/>
              </w:rPr>
            </w:pPr>
          </w:p>
        </w:tc>
        <w:tc>
          <w:tcPr>
            <w:tcW w:w="3168" w:type="dxa"/>
          </w:tcPr>
          <w:p w:rsidR="00D201A2" w:rsidRPr="00D201A2" w:rsidRDefault="00D201A2" w:rsidP="00D201A2">
            <w:pPr>
              <w:shd w:val="clear" w:color="auto" w:fill="FFFFFF"/>
              <w:rPr>
                <w:rFonts w:ascii="Calibri" w:eastAsia="Calibri" w:hAnsi="Calibri" w:cs="Times New Roman"/>
                <w:sz w:val="18"/>
                <w:szCs w:val="18"/>
              </w:rPr>
            </w:pPr>
            <w:r w:rsidRPr="00D201A2">
              <w:rPr>
                <w:rFonts w:ascii="Calibri" w:eastAsia="Calibri" w:hAnsi="Calibri" w:cs="Times New Roman"/>
                <w:sz w:val="18"/>
                <w:szCs w:val="18"/>
              </w:rPr>
              <w:t>1.  Continue to offer wide range of CE classes in Elko and expand to outlying areas and new territories as feasible. 2.  Maintain and increase professional development courses as feasible. 3.  Develop faculty/adjunct faculty and community members in outlying communities and new service area in order to have resources to serve rural areas. </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Director of Continuing Ed</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VPAA</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3. VPAA, VPSS</w:t>
            </w: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1-3. TBA</w:t>
            </w:r>
          </w:p>
        </w:tc>
        <w:tc>
          <w:tcPr>
            <w:tcW w:w="1137" w:type="dxa"/>
          </w:tcPr>
          <w:p w:rsidR="00D201A2" w:rsidRPr="00D201A2" w:rsidRDefault="00D201A2" w:rsidP="00D201A2">
            <w:pPr>
              <w:rPr>
                <w:rFonts w:ascii="Calibri" w:eastAsia="Calibri" w:hAnsi="Calibri" w:cs="Times New Roman"/>
              </w:rPr>
            </w:pPr>
          </w:p>
        </w:tc>
      </w:tr>
      <w:tr w:rsidR="00D201A2" w:rsidRPr="00D201A2" w:rsidTr="004F6CEE">
        <w:tc>
          <w:tcPr>
            <w:tcW w:w="445" w:type="dxa"/>
          </w:tcPr>
          <w:p w:rsidR="00D201A2" w:rsidRPr="00D201A2" w:rsidRDefault="00D201A2" w:rsidP="00D201A2">
            <w:pPr>
              <w:rPr>
                <w:rFonts w:ascii="Cambria" w:eastAsia="Calibri" w:hAnsi="Cambria" w:cs="Times New Roman"/>
                <w:sz w:val="18"/>
                <w:szCs w:val="18"/>
              </w:rPr>
            </w:pPr>
            <w:r w:rsidRPr="00D201A2">
              <w:rPr>
                <w:rFonts w:ascii="Cambria" w:eastAsia="Calibri" w:hAnsi="Cambria" w:cs="Times New Roman"/>
                <w:sz w:val="18"/>
                <w:szCs w:val="18"/>
              </w:rPr>
              <w:t>d.</w:t>
            </w:r>
          </w:p>
        </w:tc>
        <w:tc>
          <w:tcPr>
            <w:tcW w:w="309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Community meetings hosted through interactive video</w:t>
            </w:r>
          </w:p>
        </w:tc>
        <w:tc>
          <w:tcPr>
            <w:tcW w:w="2775"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Continue to provide connectivity throughout service area for community needs.</w:t>
            </w:r>
          </w:p>
        </w:tc>
        <w:tc>
          <w:tcPr>
            <w:tcW w:w="3168"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Each summer, review the list of community meetings hosted for the previous year.</w:t>
            </w: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Based on annual review and assessment of resources, determine actions required to maximize the use of IAV.</w:t>
            </w:r>
          </w:p>
        </w:tc>
        <w:tc>
          <w:tcPr>
            <w:tcW w:w="1589"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IAV Coordinator</w:t>
            </w:r>
          </w:p>
          <w:p w:rsidR="00D201A2" w:rsidRPr="00D201A2" w:rsidRDefault="00D201A2" w:rsidP="00D201A2">
            <w:pPr>
              <w:rPr>
                <w:rFonts w:ascii="Calibri" w:eastAsia="Calibri" w:hAnsi="Calibri" w:cs="Times New Roman"/>
                <w:sz w:val="18"/>
                <w:szCs w:val="18"/>
              </w:rPr>
            </w:pPr>
          </w:p>
        </w:tc>
        <w:tc>
          <w:tcPr>
            <w:tcW w:w="1610" w:type="dxa"/>
          </w:tcPr>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1. Annually by August 15</w:t>
            </w:r>
          </w:p>
          <w:p w:rsidR="00D201A2" w:rsidRPr="00D201A2" w:rsidRDefault="00D201A2" w:rsidP="00D201A2">
            <w:pPr>
              <w:rPr>
                <w:rFonts w:ascii="Calibri" w:eastAsia="Calibri" w:hAnsi="Calibri" w:cs="Times New Roman"/>
                <w:sz w:val="18"/>
                <w:szCs w:val="18"/>
              </w:rPr>
            </w:pPr>
          </w:p>
          <w:p w:rsidR="00D201A2" w:rsidRPr="00D201A2" w:rsidRDefault="00D201A2" w:rsidP="00D201A2">
            <w:pPr>
              <w:rPr>
                <w:rFonts w:ascii="Calibri" w:eastAsia="Calibri" w:hAnsi="Calibri" w:cs="Times New Roman"/>
                <w:sz w:val="18"/>
                <w:szCs w:val="18"/>
              </w:rPr>
            </w:pPr>
            <w:r w:rsidRPr="00D201A2">
              <w:rPr>
                <w:rFonts w:ascii="Calibri" w:eastAsia="Calibri" w:hAnsi="Calibri" w:cs="Times New Roman"/>
                <w:sz w:val="18"/>
                <w:szCs w:val="18"/>
              </w:rPr>
              <w:t>2. TBA</w:t>
            </w:r>
          </w:p>
        </w:tc>
        <w:tc>
          <w:tcPr>
            <w:tcW w:w="1137" w:type="dxa"/>
          </w:tcPr>
          <w:p w:rsidR="00D201A2" w:rsidRPr="00D201A2" w:rsidRDefault="00D201A2" w:rsidP="00D201A2">
            <w:pPr>
              <w:rPr>
                <w:rFonts w:ascii="Calibri" w:eastAsia="Calibri" w:hAnsi="Calibri" w:cs="Times New Roman"/>
              </w:rPr>
            </w:pPr>
          </w:p>
        </w:tc>
      </w:tr>
    </w:tbl>
    <w:p w:rsidR="00D201A2" w:rsidRPr="00D201A2" w:rsidRDefault="00D201A2" w:rsidP="00D201A2">
      <w:pPr>
        <w:tabs>
          <w:tab w:val="left" w:pos="1356"/>
        </w:tabs>
        <w:spacing w:after="200" w:line="276" w:lineRule="auto"/>
        <w:rPr>
          <w:rFonts w:ascii="Calibri" w:eastAsia="Calibri" w:hAnsi="Calibri" w:cs="Times New Roman"/>
          <w:sz w:val="24"/>
          <w:szCs w:val="24"/>
        </w:rPr>
        <w:sectPr w:rsidR="00D201A2" w:rsidRPr="00D201A2" w:rsidSect="002C4360">
          <w:pgSz w:w="15840" w:h="12240" w:orient="landscape" w:code="1"/>
          <w:pgMar w:top="1440" w:right="1440" w:bottom="1440" w:left="1440" w:header="720" w:footer="720" w:gutter="0"/>
          <w:cols w:space="720"/>
          <w:docGrid w:linePitch="360"/>
        </w:sectPr>
      </w:pPr>
      <w:bookmarkStart w:id="0" w:name="_GoBack"/>
      <w:bookmarkEnd w:id="0"/>
    </w:p>
    <w:p w:rsidR="004241EC" w:rsidRDefault="004241EC" w:rsidP="00B94464"/>
    <w:sectPr w:rsidR="0042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A2"/>
    <w:rsid w:val="004241EC"/>
    <w:rsid w:val="00B94464"/>
    <w:rsid w:val="00D2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E050-83D5-43F4-AE8B-E90404A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Fulkerson, Ann C</cp:lastModifiedBy>
  <cp:revision>2</cp:revision>
  <dcterms:created xsi:type="dcterms:W3CDTF">2016-02-24T21:26:00Z</dcterms:created>
  <dcterms:modified xsi:type="dcterms:W3CDTF">2016-02-24T21:26:00Z</dcterms:modified>
</cp:coreProperties>
</file>