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60" w:rsidRPr="006F7A92" w:rsidRDefault="006F7A92" w:rsidP="00376D60">
      <w:pPr>
        <w:pStyle w:val="NoSpacing"/>
        <w:rPr>
          <w:sz w:val="22"/>
        </w:rPr>
      </w:pPr>
      <w:bookmarkStart w:id="0" w:name="_GoBack"/>
      <w:bookmarkEnd w:id="0"/>
      <w:r w:rsidRPr="006F7A92">
        <w:rPr>
          <w:sz w:val="22"/>
        </w:rPr>
        <w:t xml:space="preserve">The following </w:t>
      </w:r>
      <w:r w:rsidR="00376D60" w:rsidRPr="006F7A92">
        <w:rPr>
          <w:sz w:val="22"/>
        </w:rPr>
        <w:t>poli</w:t>
      </w:r>
      <w:r w:rsidRPr="006F7A92">
        <w:rPr>
          <w:sz w:val="22"/>
        </w:rPr>
        <w:t>cy addendum can be found within the following</w:t>
      </w:r>
      <w:r w:rsidR="00376D60" w:rsidRPr="006F7A92">
        <w:rPr>
          <w:sz w:val="22"/>
        </w:rPr>
        <w:t xml:space="preserve"> policies of Great Basin College</w:t>
      </w:r>
      <w:r w:rsidR="001459FF" w:rsidRPr="006F7A92">
        <w:rPr>
          <w:sz w:val="22"/>
        </w:rPr>
        <w:t>:</w:t>
      </w:r>
    </w:p>
    <w:p w:rsidR="001459FF" w:rsidRPr="006F7A92" w:rsidRDefault="001459FF" w:rsidP="00376D60">
      <w:pPr>
        <w:pStyle w:val="NoSpacing"/>
        <w:rPr>
          <w:sz w:val="22"/>
        </w:rPr>
      </w:pPr>
    </w:p>
    <w:p w:rsidR="00376D60" w:rsidRPr="006F7A92" w:rsidRDefault="00376D60" w:rsidP="00376D60">
      <w:pPr>
        <w:pStyle w:val="NoSpacing"/>
        <w:numPr>
          <w:ilvl w:val="0"/>
          <w:numId w:val="1"/>
        </w:numPr>
        <w:rPr>
          <w:sz w:val="22"/>
        </w:rPr>
      </w:pPr>
      <w:r w:rsidRPr="006F7A92">
        <w:rPr>
          <w:sz w:val="22"/>
        </w:rPr>
        <w:t xml:space="preserve">3.4 Department Chair </w:t>
      </w:r>
      <w:r w:rsidR="002227F7" w:rsidRPr="006F7A92">
        <w:rPr>
          <w:sz w:val="22"/>
        </w:rPr>
        <w:t>Responsibilities</w:t>
      </w:r>
    </w:p>
    <w:p w:rsidR="00376D60" w:rsidRPr="006F7A92" w:rsidRDefault="002227F7" w:rsidP="00376D60">
      <w:pPr>
        <w:pStyle w:val="NoSpacing"/>
        <w:numPr>
          <w:ilvl w:val="0"/>
          <w:numId w:val="1"/>
        </w:numPr>
        <w:rPr>
          <w:sz w:val="22"/>
        </w:rPr>
      </w:pPr>
      <w:r w:rsidRPr="006F7A92">
        <w:rPr>
          <w:sz w:val="22"/>
        </w:rPr>
        <w:t>4.20 Campus Safety and Security</w:t>
      </w:r>
    </w:p>
    <w:p w:rsidR="002227F7" w:rsidRPr="006F7A92" w:rsidRDefault="002227F7" w:rsidP="00376D60">
      <w:pPr>
        <w:pStyle w:val="NoSpacing"/>
        <w:numPr>
          <w:ilvl w:val="0"/>
          <w:numId w:val="1"/>
        </w:numPr>
        <w:rPr>
          <w:sz w:val="22"/>
        </w:rPr>
      </w:pPr>
      <w:r w:rsidRPr="006F7A92">
        <w:rPr>
          <w:sz w:val="22"/>
        </w:rPr>
        <w:t>4.24 Campus Sex Crimes Prevention Action Program</w:t>
      </w:r>
    </w:p>
    <w:p w:rsidR="002227F7" w:rsidRPr="006F7A92" w:rsidRDefault="002227F7" w:rsidP="00376D60">
      <w:pPr>
        <w:pStyle w:val="NoSpacing"/>
        <w:numPr>
          <w:ilvl w:val="0"/>
          <w:numId w:val="1"/>
        </w:numPr>
        <w:rPr>
          <w:sz w:val="22"/>
        </w:rPr>
      </w:pPr>
      <w:r w:rsidRPr="006F7A92">
        <w:rPr>
          <w:sz w:val="22"/>
        </w:rPr>
        <w:t>4.25 Hate Crimes, Harassing Conduct and Bullying</w:t>
      </w:r>
    </w:p>
    <w:p w:rsidR="002227F7" w:rsidRPr="006F7A92" w:rsidRDefault="002227F7" w:rsidP="00376D60">
      <w:pPr>
        <w:pStyle w:val="NoSpacing"/>
        <w:numPr>
          <w:ilvl w:val="0"/>
          <w:numId w:val="1"/>
        </w:numPr>
        <w:rPr>
          <w:sz w:val="22"/>
        </w:rPr>
      </w:pPr>
      <w:r w:rsidRPr="006F7A92">
        <w:rPr>
          <w:sz w:val="22"/>
        </w:rPr>
        <w:t>5.1 Human Resources Responsibilities</w:t>
      </w:r>
    </w:p>
    <w:p w:rsidR="001459FF" w:rsidRPr="006F7A92" w:rsidRDefault="00BF054C" w:rsidP="00376D60">
      <w:pPr>
        <w:pStyle w:val="NoSpacing"/>
        <w:numPr>
          <w:ilvl w:val="0"/>
          <w:numId w:val="1"/>
        </w:numPr>
        <w:rPr>
          <w:sz w:val="22"/>
        </w:rPr>
      </w:pPr>
      <w:r w:rsidRPr="006F7A92">
        <w:rPr>
          <w:sz w:val="22"/>
        </w:rPr>
        <w:t xml:space="preserve">5.51 </w:t>
      </w:r>
      <w:r w:rsidR="001459FF" w:rsidRPr="006F7A92">
        <w:rPr>
          <w:sz w:val="22"/>
        </w:rPr>
        <w:t>Sexual Harassment</w:t>
      </w:r>
    </w:p>
    <w:p w:rsidR="00D02CD4" w:rsidRPr="006F7A92" w:rsidRDefault="001459FF" w:rsidP="006F7A92">
      <w:pPr>
        <w:pStyle w:val="NoSpacing"/>
        <w:numPr>
          <w:ilvl w:val="0"/>
          <w:numId w:val="1"/>
        </w:numPr>
        <w:rPr>
          <w:sz w:val="22"/>
        </w:rPr>
      </w:pPr>
      <w:r w:rsidRPr="006F7A92">
        <w:rPr>
          <w:sz w:val="22"/>
        </w:rPr>
        <w:t>6.1 Student Services Policy &amp; Procedures</w:t>
      </w:r>
    </w:p>
    <w:p w:rsidR="006F7A92" w:rsidRPr="006F7A92" w:rsidRDefault="006F7A92" w:rsidP="006F7A92">
      <w:pPr>
        <w:pStyle w:val="NoSpacing"/>
        <w:ind w:left="720"/>
      </w:pPr>
    </w:p>
    <w:p w:rsidR="00376D60" w:rsidRDefault="00376D60" w:rsidP="00376D60">
      <w:pPr>
        <w:jc w:val="center"/>
        <w:rPr>
          <w:b/>
          <w:u w:val="single"/>
        </w:rPr>
      </w:pPr>
      <w:r w:rsidRPr="00376D60">
        <w:rPr>
          <w:b/>
          <w:u w:val="single"/>
        </w:rPr>
        <w:t>Mandatory Reporting of Child Abuse or Neglect</w:t>
      </w:r>
    </w:p>
    <w:p w:rsidR="00376D60" w:rsidRPr="00BF054C" w:rsidRDefault="00BF054C" w:rsidP="001459FF">
      <w:pPr>
        <w:pStyle w:val="NoSpacing"/>
        <w:rPr>
          <w:b/>
          <w:sz w:val="28"/>
          <w:szCs w:val="28"/>
          <w:u w:val="single"/>
        </w:rPr>
      </w:pPr>
      <w:r w:rsidRPr="00BF054C">
        <w:rPr>
          <w:b/>
          <w:sz w:val="28"/>
          <w:szCs w:val="28"/>
          <w:u w:val="single"/>
        </w:rPr>
        <w:t>Policy</w:t>
      </w:r>
    </w:p>
    <w:p w:rsidR="00BF054C" w:rsidRPr="006F7A92" w:rsidRDefault="00BF054C" w:rsidP="001459FF">
      <w:pPr>
        <w:pStyle w:val="NoSpacing"/>
        <w:rPr>
          <w:sz w:val="22"/>
        </w:rPr>
      </w:pPr>
      <w:r w:rsidRPr="006F7A92">
        <w:rPr>
          <w:sz w:val="22"/>
        </w:rPr>
        <w:t>Within the State of Nevada persons within named professional or occupational capacities are required to be mandatory reporters of child abuse or neglect when identified within NRS 432B.220</w:t>
      </w:r>
      <w:r w:rsidR="003E144D">
        <w:rPr>
          <w:sz w:val="22"/>
        </w:rPr>
        <w:t xml:space="preserve"> (see definitions)</w:t>
      </w:r>
      <w:r w:rsidRPr="006F7A92">
        <w:rPr>
          <w:sz w:val="22"/>
        </w:rPr>
        <w:t>.  Each person who knows or has reasonable cause to believe that a child has been abused or neglected shall report the abuse or neglect to an agency which provides child welfare services or to a law enforcement agency.</w:t>
      </w:r>
      <w:r w:rsidR="00783E8A" w:rsidRPr="006F7A92">
        <w:rPr>
          <w:sz w:val="22"/>
        </w:rPr>
        <w:t xml:space="preserve">  </w:t>
      </w:r>
    </w:p>
    <w:p w:rsidR="00783E8A" w:rsidRPr="006F7A92" w:rsidRDefault="00783E8A" w:rsidP="001459FF">
      <w:pPr>
        <w:pStyle w:val="NoSpacing"/>
        <w:rPr>
          <w:sz w:val="22"/>
        </w:rPr>
      </w:pPr>
    </w:p>
    <w:p w:rsidR="00783E8A" w:rsidRPr="006F7A92" w:rsidRDefault="00783E8A" w:rsidP="001459FF">
      <w:pPr>
        <w:pStyle w:val="NoSpacing"/>
        <w:rPr>
          <w:sz w:val="22"/>
        </w:rPr>
      </w:pPr>
      <w:r w:rsidRPr="006F7A92">
        <w:rPr>
          <w:sz w:val="22"/>
        </w:rPr>
        <w:t>NRS 432B.220, 4</w:t>
      </w:r>
      <w:r w:rsidR="00A23C95" w:rsidRPr="006F7A92">
        <w:rPr>
          <w:sz w:val="22"/>
        </w:rPr>
        <w:t>, defines mandatory reporters as</w:t>
      </w:r>
    </w:p>
    <w:p w:rsidR="00783E8A" w:rsidRPr="006F7A92" w:rsidRDefault="00783E8A" w:rsidP="001459FF">
      <w:pPr>
        <w:pStyle w:val="NoSpacing"/>
        <w:rPr>
          <w:sz w:val="22"/>
        </w:rPr>
      </w:pPr>
      <w:r w:rsidRPr="006F7A92">
        <w:rPr>
          <w:sz w:val="22"/>
        </w:rPr>
        <w:t>(e) A social worker and an administrator, teacher, librarian or counselor of a school,</w:t>
      </w:r>
    </w:p>
    <w:p w:rsidR="00783E8A" w:rsidRPr="006F7A92" w:rsidRDefault="00783E8A" w:rsidP="001459FF">
      <w:pPr>
        <w:pStyle w:val="NoSpacing"/>
        <w:rPr>
          <w:sz w:val="22"/>
        </w:rPr>
      </w:pPr>
      <w:r w:rsidRPr="006F7A92">
        <w:rPr>
          <w:sz w:val="22"/>
        </w:rPr>
        <w:t>(f) Any person who maintains or is employed by a facility or establishment that provides care for children, children’s camp or other public or private facility, institution or agency furnishing care to a child.</w:t>
      </w:r>
    </w:p>
    <w:p w:rsidR="00783E8A" w:rsidRPr="006F7A92" w:rsidRDefault="00783E8A" w:rsidP="001459FF">
      <w:pPr>
        <w:pStyle w:val="NoSpacing"/>
        <w:rPr>
          <w:sz w:val="22"/>
        </w:rPr>
      </w:pPr>
      <w:r w:rsidRPr="006F7A92">
        <w:rPr>
          <w:sz w:val="22"/>
        </w:rPr>
        <w:t>(l) Any adult person who is employed by an entity that provides organized activities for children.</w:t>
      </w:r>
    </w:p>
    <w:p w:rsidR="008F2E67" w:rsidRPr="006F7A92" w:rsidRDefault="008F2E67" w:rsidP="001459FF">
      <w:pPr>
        <w:pStyle w:val="NoSpacing"/>
        <w:rPr>
          <w:sz w:val="22"/>
        </w:rPr>
      </w:pPr>
    </w:p>
    <w:p w:rsidR="008F2E67" w:rsidRPr="006F7A92" w:rsidRDefault="008F2E67" w:rsidP="001459FF">
      <w:pPr>
        <w:pStyle w:val="NoSpacing"/>
        <w:rPr>
          <w:sz w:val="22"/>
        </w:rPr>
      </w:pPr>
      <w:r w:rsidRPr="006F7A92">
        <w:rPr>
          <w:sz w:val="22"/>
        </w:rPr>
        <w:t>Annually, and no later than October 15</w:t>
      </w:r>
      <w:r w:rsidRPr="006F7A92">
        <w:rPr>
          <w:sz w:val="22"/>
          <w:vertAlign w:val="superscript"/>
        </w:rPr>
        <w:t>th</w:t>
      </w:r>
      <w:r w:rsidRPr="006F7A92">
        <w:rPr>
          <w:sz w:val="22"/>
        </w:rPr>
        <w:t xml:space="preserve"> of each year, the Director of Environmental Health, Safety and Security shall send to every full and part time employee of GBC an e-mail with a link to the college’s procedure regarding mandatory reporting of child abuse for all </w:t>
      </w:r>
      <w:r w:rsidR="006F7A92" w:rsidRPr="006F7A92">
        <w:rPr>
          <w:sz w:val="22"/>
        </w:rPr>
        <w:t xml:space="preserve">college </w:t>
      </w:r>
      <w:r w:rsidRPr="006F7A92">
        <w:rPr>
          <w:sz w:val="22"/>
        </w:rPr>
        <w:t>programs and activities that children under the age of 18 may be participating in.</w:t>
      </w:r>
      <w:r w:rsidR="006F7A92" w:rsidRPr="006F7A92">
        <w:rPr>
          <w:sz w:val="22"/>
        </w:rPr>
        <w:t xml:space="preserve">  </w:t>
      </w:r>
    </w:p>
    <w:p w:rsidR="00783E8A" w:rsidRDefault="00783E8A" w:rsidP="001459FF">
      <w:pPr>
        <w:pStyle w:val="NoSpacing"/>
      </w:pPr>
    </w:p>
    <w:p w:rsidR="00783E8A" w:rsidRPr="00783E8A" w:rsidRDefault="00783E8A" w:rsidP="001459FF">
      <w:pPr>
        <w:pStyle w:val="NoSpacing"/>
        <w:rPr>
          <w:b/>
          <w:sz w:val="28"/>
          <w:szCs w:val="28"/>
          <w:u w:val="single"/>
        </w:rPr>
      </w:pPr>
      <w:r w:rsidRPr="00783E8A">
        <w:rPr>
          <w:b/>
          <w:sz w:val="28"/>
          <w:szCs w:val="28"/>
          <w:u w:val="single"/>
        </w:rPr>
        <w:t>Procedure</w:t>
      </w:r>
    </w:p>
    <w:p w:rsidR="00783E8A" w:rsidRPr="006F7A92" w:rsidRDefault="00783E8A" w:rsidP="001459FF">
      <w:pPr>
        <w:pStyle w:val="NoSpacing"/>
        <w:rPr>
          <w:sz w:val="22"/>
        </w:rPr>
      </w:pPr>
      <w:r w:rsidRPr="006F7A92">
        <w:rPr>
          <w:sz w:val="22"/>
        </w:rPr>
        <w:t xml:space="preserve">If any person; faculty, staff, student or member of the campus community, has knowledge of </w:t>
      </w:r>
      <w:r w:rsidR="004B0CEE" w:rsidRPr="006F7A92">
        <w:rPr>
          <w:sz w:val="22"/>
        </w:rPr>
        <w:t>a child</w:t>
      </w:r>
      <w:r w:rsidR="004D464C" w:rsidRPr="006F7A92">
        <w:rPr>
          <w:sz w:val="22"/>
        </w:rPr>
        <w:t xml:space="preserve"> (anyone under the age of 18 yrs.) </w:t>
      </w:r>
      <w:r w:rsidR="004B0CEE" w:rsidRPr="006F7A92">
        <w:rPr>
          <w:sz w:val="22"/>
        </w:rPr>
        <w:t xml:space="preserve">in immediate danger of abuse or from neglect, the local Police agency must immediately be notified by calling 911.  </w:t>
      </w:r>
      <w:r w:rsidR="003E144D">
        <w:rPr>
          <w:sz w:val="22"/>
        </w:rPr>
        <w:t>Once that call has been made, as soon as</w:t>
      </w:r>
      <w:r w:rsidR="004B0CEE" w:rsidRPr="006F7A92">
        <w:rPr>
          <w:sz w:val="22"/>
        </w:rPr>
        <w:t xml:space="preserve"> it is safe for the person to do so, the Center Director or Director of Environmental Health, Safety &amp; Security</w:t>
      </w:r>
      <w:r w:rsidR="00C8502F" w:rsidRPr="006F7A92">
        <w:rPr>
          <w:sz w:val="22"/>
        </w:rPr>
        <w:t xml:space="preserve"> must be notified.</w:t>
      </w:r>
    </w:p>
    <w:p w:rsidR="00C8502F" w:rsidRPr="006F7A92" w:rsidRDefault="00C8502F" w:rsidP="001459FF">
      <w:pPr>
        <w:pStyle w:val="NoSpacing"/>
        <w:rPr>
          <w:sz w:val="22"/>
        </w:rPr>
      </w:pPr>
    </w:p>
    <w:p w:rsidR="008F2E67" w:rsidRDefault="00C8502F" w:rsidP="006F7A92">
      <w:pPr>
        <w:pStyle w:val="NoSpacing"/>
        <w:rPr>
          <w:sz w:val="22"/>
        </w:rPr>
      </w:pPr>
      <w:r w:rsidRPr="006F7A92">
        <w:rPr>
          <w:sz w:val="22"/>
        </w:rPr>
        <w:t xml:space="preserve">If any person; faculty, staff, student or member of the campus community, has knowledge of a child </w:t>
      </w:r>
      <w:r w:rsidR="004D464C" w:rsidRPr="006F7A92">
        <w:rPr>
          <w:sz w:val="22"/>
        </w:rPr>
        <w:t xml:space="preserve">(anyone under the age of 18 yrs.) </w:t>
      </w:r>
      <w:r w:rsidRPr="006F7A92">
        <w:rPr>
          <w:sz w:val="22"/>
        </w:rPr>
        <w:t xml:space="preserve">who appears to be the victim of abuse or neglect, the Center Director </w:t>
      </w:r>
      <w:r w:rsidR="004D464C" w:rsidRPr="006F7A92">
        <w:rPr>
          <w:sz w:val="22"/>
        </w:rPr>
        <w:t>or Director of Environmental Health, Safety &amp; Security should be notified immediately.  Once the Director has determined the basic facts of the situation they will notify the Vice President of Student Services, Vice President of Academic Affairs or the Chief Business Officer</w:t>
      </w:r>
      <w:r w:rsidR="00A23C95" w:rsidRPr="006F7A92">
        <w:rPr>
          <w:sz w:val="22"/>
        </w:rPr>
        <w:t xml:space="preserve"> and the President.  </w:t>
      </w:r>
      <w:r w:rsidR="004D464C" w:rsidRPr="006F7A92">
        <w:rPr>
          <w:sz w:val="22"/>
        </w:rPr>
        <w:t xml:space="preserve">Notification must be made to the local Police agency or </w:t>
      </w:r>
      <w:r w:rsidR="00A23C95" w:rsidRPr="006F7A92">
        <w:rPr>
          <w:sz w:val="22"/>
        </w:rPr>
        <w:t>the Division of Child and Family Services as soon as reasonably practicable but not later than twenty-four (24) hours after the person knows or has reasonable cause to believe that the child has been abused or neglected (NRS 432B.220,1, (b).</w:t>
      </w:r>
    </w:p>
    <w:p w:rsidR="003E144D" w:rsidRPr="003E144D" w:rsidRDefault="003E144D" w:rsidP="006F7A92">
      <w:pPr>
        <w:pStyle w:val="NoSpacing"/>
        <w:rPr>
          <w:b/>
          <w:sz w:val="28"/>
          <w:szCs w:val="28"/>
          <w:u w:val="single"/>
        </w:rPr>
      </w:pPr>
      <w:r w:rsidRPr="003E144D">
        <w:rPr>
          <w:b/>
          <w:sz w:val="28"/>
          <w:szCs w:val="28"/>
          <w:u w:val="single"/>
        </w:rPr>
        <w:lastRenderedPageBreak/>
        <w:t>Definitions</w:t>
      </w:r>
    </w:p>
    <w:p w:rsidR="003E144D" w:rsidRPr="003E144D" w:rsidRDefault="003E144D" w:rsidP="006F7A92">
      <w:pPr>
        <w:pStyle w:val="NoSpacing"/>
        <w:rPr>
          <w:rFonts w:cs="Tahoma"/>
          <w:sz w:val="22"/>
        </w:rPr>
      </w:pPr>
    </w:p>
    <w:p w:rsidR="003E144D" w:rsidRPr="003E144D" w:rsidRDefault="003E144D" w:rsidP="003E144D">
      <w:pPr>
        <w:pStyle w:val="sectbody"/>
        <w:spacing w:line="240" w:lineRule="auto"/>
        <w:rPr>
          <w:rFonts w:ascii="Tahoma" w:hAnsi="Tahoma" w:cs="Tahoma"/>
          <w:sz w:val="22"/>
          <w:szCs w:val="22"/>
        </w:rPr>
      </w:pPr>
      <w:r w:rsidRPr="003E144D">
        <w:rPr>
          <w:rStyle w:val="empty"/>
          <w:rFonts w:ascii="Tahoma" w:hAnsi="Tahoma" w:cs="Tahoma"/>
          <w:sz w:val="22"/>
          <w:szCs w:val="22"/>
        </w:rPr>
        <w:t>NRS</w:t>
      </w:r>
      <w:r w:rsidRPr="003E144D">
        <w:rPr>
          <w:rStyle w:val="empty"/>
          <w:rFonts w:ascii="Tahoma" w:hAnsi="Tahoma" w:cs="Tahoma"/>
          <w:sz w:val="22"/>
          <w:szCs w:val="22"/>
        </w:rPr>
        <w:t> </w:t>
      </w:r>
      <w:r w:rsidRPr="003E144D">
        <w:rPr>
          <w:rStyle w:val="section"/>
          <w:rFonts w:ascii="Tahoma" w:hAnsi="Tahoma" w:cs="Tahoma"/>
          <w:sz w:val="22"/>
          <w:szCs w:val="22"/>
        </w:rPr>
        <w:t>432B.020</w:t>
      </w:r>
      <w:r w:rsidRPr="003E144D">
        <w:rPr>
          <w:rStyle w:val="empty"/>
          <w:rFonts w:ascii="Tahoma" w:hAnsi="Tahoma" w:cs="Tahoma"/>
          <w:sz w:val="22"/>
          <w:szCs w:val="22"/>
        </w:rPr>
        <w:t> </w:t>
      </w:r>
      <w:r w:rsidRPr="003E144D">
        <w:rPr>
          <w:rStyle w:val="empty"/>
          <w:rFonts w:ascii="Tahoma" w:hAnsi="Tahoma" w:cs="Tahoma"/>
          <w:sz w:val="22"/>
          <w:szCs w:val="22"/>
        </w:rPr>
        <w:t> </w:t>
      </w:r>
      <w:r w:rsidRPr="003E144D">
        <w:rPr>
          <w:rStyle w:val="leadline"/>
          <w:rFonts w:ascii="Tahoma" w:hAnsi="Tahoma" w:cs="Tahoma"/>
          <w:sz w:val="22"/>
          <w:szCs w:val="22"/>
        </w:rPr>
        <w:t>“Abuse or neglect of a child” defined.</w:t>
      </w:r>
    </w:p>
    <w:p w:rsidR="003E144D" w:rsidRPr="003E144D" w:rsidRDefault="003E144D" w:rsidP="003E144D">
      <w:pPr>
        <w:pStyle w:val="sectbody"/>
        <w:spacing w:line="240" w:lineRule="auto"/>
        <w:rPr>
          <w:rFonts w:ascii="Tahoma" w:hAnsi="Tahoma" w:cs="Tahoma"/>
          <w:sz w:val="22"/>
          <w:szCs w:val="22"/>
        </w:rPr>
      </w:pPr>
      <w:proofErr w:type="gramStart"/>
      <w:r w:rsidRPr="003E144D">
        <w:rPr>
          <w:rFonts w:ascii="Tahoma" w:hAnsi="Tahoma" w:cs="Tahoma"/>
          <w:sz w:val="22"/>
          <w:szCs w:val="22"/>
        </w:rPr>
        <w:t>1.</w:t>
      </w:r>
      <w:proofErr w:type="gramEnd"/>
      <w:r w:rsidRPr="003E144D">
        <w:rPr>
          <w:rFonts w:ascii="Tahoma" w:hAnsi="Tahoma" w:cs="Tahoma"/>
          <w:sz w:val="22"/>
          <w:szCs w:val="22"/>
        </w:rPr>
        <w:t> </w:t>
      </w:r>
      <w:r w:rsidRPr="003E144D">
        <w:rPr>
          <w:rFonts w:ascii="Tahoma" w:hAnsi="Tahoma" w:cs="Tahoma"/>
          <w:sz w:val="22"/>
          <w:szCs w:val="22"/>
        </w:rPr>
        <w:t> </w:t>
      </w:r>
      <w:r w:rsidRPr="003E144D">
        <w:rPr>
          <w:rFonts w:ascii="Tahoma" w:hAnsi="Tahoma" w:cs="Tahoma"/>
          <w:sz w:val="22"/>
          <w:szCs w:val="22"/>
        </w:rPr>
        <w:t>“Abuse or neglect of a child” means, except as otherwise provided in subsection 2:</w:t>
      </w:r>
    </w:p>
    <w:p w:rsidR="003E144D" w:rsidRPr="003E144D" w:rsidRDefault="003E144D" w:rsidP="003E144D">
      <w:pPr>
        <w:pStyle w:val="sectbody"/>
        <w:spacing w:line="240" w:lineRule="auto"/>
        <w:rPr>
          <w:rFonts w:ascii="Tahoma" w:hAnsi="Tahoma" w:cs="Tahoma"/>
          <w:sz w:val="22"/>
          <w:szCs w:val="22"/>
        </w:rPr>
      </w:pPr>
      <w:r w:rsidRPr="003E144D">
        <w:rPr>
          <w:rFonts w:ascii="Tahoma" w:hAnsi="Tahoma" w:cs="Tahoma"/>
          <w:sz w:val="22"/>
          <w:szCs w:val="22"/>
        </w:rPr>
        <w:t>(</w:t>
      </w:r>
      <w:proofErr w:type="gramStart"/>
      <w:r w:rsidRPr="003E144D">
        <w:rPr>
          <w:rFonts w:ascii="Tahoma" w:hAnsi="Tahoma" w:cs="Tahoma"/>
          <w:sz w:val="22"/>
          <w:szCs w:val="22"/>
        </w:rPr>
        <w:t>a</w:t>
      </w:r>
      <w:proofErr w:type="gramEnd"/>
      <w:r w:rsidRPr="003E144D">
        <w:rPr>
          <w:rFonts w:ascii="Tahoma" w:hAnsi="Tahoma" w:cs="Tahoma"/>
          <w:sz w:val="22"/>
          <w:szCs w:val="22"/>
        </w:rPr>
        <w:t>)</w:t>
      </w:r>
      <w:r w:rsidRPr="003E144D">
        <w:rPr>
          <w:rFonts w:ascii="Tahoma" w:hAnsi="Tahoma" w:cs="Tahoma"/>
          <w:sz w:val="22"/>
          <w:szCs w:val="22"/>
        </w:rPr>
        <w:t> </w:t>
      </w:r>
      <w:r w:rsidRPr="003E144D">
        <w:rPr>
          <w:rFonts w:ascii="Tahoma" w:hAnsi="Tahoma" w:cs="Tahoma"/>
          <w:sz w:val="22"/>
          <w:szCs w:val="22"/>
        </w:rPr>
        <w:t>Physical or mental injury of a nonaccidental nature;</w:t>
      </w:r>
    </w:p>
    <w:p w:rsidR="003E144D" w:rsidRPr="003E144D" w:rsidRDefault="003E144D" w:rsidP="003E144D">
      <w:pPr>
        <w:pStyle w:val="sectbody"/>
        <w:spacing w:line="240" w:lineRule="auto"/>
        <w:rPr>
          <w:rFonts w:ascii="Tahoma" w:hAnsi="Tahoma" w:cs="Tahoma"/>
          <w:sz w:val="22"/>
          <w:szCs w:val="22"/>
        </w:rPr>
      </w:pPr>
      <w:r w:rsidRPr="003E144D">
        <w:rPr>
          <w:rFonts w:ascii="Tahoma" w:hAnsi="Tahoma" w:cs="Tahoma"/>
          <w:sz w:val="22"/>
          <w:szCs w:val="22"/>
        </w:rPr>
        <w:t>(b</w:t>
      </w:r>
      <w:proofErr w:type="gramStart"/>
      <w:r w:rsidRPr="003E144D">
        <w:rPr>
          <w:rFonts w:ascii="Tahoma" w:hAnsi="Tahoma" w:cs="Tahoma"/>
          <w:sz w:val="22"/>
          <w:szCs w:val="22"/>
        </w:rPr>
        <w:t>)</w:t>
      </w:r>
      <w:proofErr w:type="gramEnd"/>
      <w:r w:rsidRPr="003E144D">
        <w:rPr>
          <w:rFonts w:ascii="Tahoma" w:hAnsi="Tahoma" w:cs="Tahoma"/>
          <w:sz w:val="22"/>
          <w:szCs w:val="22"/>
        </w:rPr>
        <w:t> </w:t>
      </w:r>
      <w:r w:rsidRPr="003E144D">
        <w:rPr>
          <w:rFonts w:ascii="Tahoma" w:hAnsi="Tahoma" w:cs="Tahoma"/>
          <w:sz w:val="22"/>
          <w:szCs w:val="22"/>
        </w:rPr>
        <w:t>Sexual abuse or sexual exploitation; or</w:t>
      </w:r>
    </w:p>
    <w:p w:rsidR="003E144D" w:rsidRPr="003E144D" w:rsidRDefault="003E144D" w:rsidP="003E144D">
      <w:pPr>
        <w:pStyle w:val="sectbody"/>
        <w:spacing w:line="240" w:lineRule="auto"/>
        <w:rPr>
          <w:rFonts w:ascii="Tahoma" w:hAnsi="Tahoma" w:cs="Tahoma"/>
          <w:sz w:val="22"/>
          <w:szCs w:val="22"/>
        </w:rPr>
      </w:pPr>
      <w:r w:rsidRPr="003E144D">
        <w:rPr>
          <w:rFonts w:ascii="Tahoma" w:hAnsi="Tahoma" w:cs="Tahoma"/>
          <w:sz w:val="22"/>
          <w:szCs w:val="22"/>
        </w:rPr>
        <w:t>(c</w:t>
      </w:r>
      <w:proofErr w:type="gramStart"/>
      <w:r w:rsidRPr="003E144D">
        <w:rPr>
          <w:rFonts w:ascii="Tahoma" w:hAnsi="Tahoma" w:cs="Tahoma"/>
          <w:sz w:val="22"/>
          <w:szCs w:val="22"/>
        </w:rPr>
        <w:t>)</w:t>
      </w:r>
      <w:proofErr w:type="gramEnd"/>
      <w:r w:rsidRPr="003E144D">
        <w:rPr>
          <w:rFonts w:ascii="Tahoma" w:hAnsi="Tahoma" w:cs="Tahoma"/>
          <w:sz w:val="22"/>
          <w:szCs w:val="22"/>
        </w:rPr>
        <w:t> </w:t>
      </w:r>
      <w:r w:rsidRPr="003E144D">
        <w:rPr>
          <w:rFonts w:ascii="Tahoma" w:hAnsi="Tahoma" w:cs="Tahoma"/>
          <w:sz w:val="22"/>
          <w:szCs w:val="22"/>
        </w:rPr>
        <w:t xml:space="preserve">Negligent treatment or maltreatment as set forth in </w:t>
      </w:r>
      <w:hyperlink r:id="rId6" w:anchor="NRS432BSec140" w:history="1">
        <w:r w:rsidRPr="003E144D">
          <w:rPr>
            <w:rStyle w:val="Hyperlink"/>
            <w:rFonts w:ascii="Tahoma" w:hAnsi="Tahoma" w:cs="Tahoma"/>
            <w:sz w:val="22"/>
            <w:szCs w:val="22"/>
          </w:rPr>
          <w:t>NRS 432B.140</w:t>
        </w:r>
      </w:hyperlink>
      <w:r w:rsidRPr="003E144D">
        <w:rPr>
          <w:rFonts w:ascii="Tahoma" w:hAnsi="Tahoma" w:cs="Tahoma"/>
          <w:sz w:val="22"/>
          <w:szCs w:val="22"/>
        </w:rPr>
        <w:t>,</w:t>
      </w:r>
    </w:p>
    <w:p w:rsidR="003E144D" w:rsidRPr="003E144D" w:rsidRDefault="005D4E61" w:rsidP="003E144D">
      <w:pPr>
        <w:pStyle w:val="sectbody"/>
        <w:spacing w:line="240" w:lineRule="auto"/>
        <w:rPr>
          <w:rFonts w:ascii="Tahoma" w:hAnsi="Tahoma" w:cs="Tahoma"/>
          <w:sz w:val="22"/>
          <w:szCs w:val="22"/>
        </w:rPr>
      </w:pPr>
      <w:r>
        <w:rPr>
          <w:rFonts w:ascii="Tahoma" w:hAnsi="Tahoma" w:cs="Tahoma"/>
          <w:sz w:val="22"/>
          <w:szCs w:val="22"/>
        </w:rPr>
        <w:t>…</w:t>
      </w:r>
      <w:r w:rsidR="003E144D" w:rsidRPr="003E144D">
        <w:rPr>
          <w:rFonts w:ascii="Tahoma" w:hAnsi="Tahoma" w:cs="Tahoma"/>
          <w:sz w:val="22"/>
          <w:szCs w:val="22"/>
        </w:rPr>
        <w:t>of a child caused or allowed by a person responsible for the welfare of the child under circumstances which indicate that the child’s health or welfare is harmed or threatened with harm.</w:t>
      </w:r>
    </w:p>
    <w:p w:rsidR="003E144D" w:rsidRPr="003E144D" w:rsidRDefault="003E144D" w:rsidP="003E144D">
      <w:pPr>
        <w:pStyle w:val="sectbody"/>
        <w:spacing w:line="240" w:lineRule="auto"/>
        <w:rPr>
          <w:rFonts w:ascii="Tahoma" w:hAnsi="Tahoma" w:cs="Tahoma"/>
          <w:sz w:val="22"/>
          <w:szCs w:val="22"/>
        </w:rPr>
      </w:pPr>
      <w:proofErr w:type="gramStart"/>
      <w:r w:rsidRPr="003E144D">
        <w:rPr>
          <w:rFonts w:ascii="Tahoma" w:hAnsi="Tahoma" w:cs="Tahoma"/>
          <w:sz w:val="22"/>
          <w:szCs w:val="22"/>
        </w:rPr>
        <w:t>2.</w:t>
      </w:r>
      <w:proofErr w:type="gramEnd"/>
      <w:r w:rsidRPr="003E144D">
        <w:rPr>
          <w:rFonts w:ascii="Tahoma" w:hAnsi="Tahoma" w:cs="Tahoma"/>
          <w:sz w:val="22"/>
          <w:szCs w:val="22"/>
        </w:rPr>
        <w:t> </w:t>
      </w:r>
      <w:r w:rsidRPr="003E144D">
        <w:rPr>
          <w:rFonts w:ascii="Tahoma" w:hAnsi="Tahoma" w:cs="Tahoma"/>
          <w:sz w:val="22"/>
          <w:szCs w:val="22"/>
        </w:rPr>
        <w:t> </w:t>
      </w:r>
      <w:r w:rsidRPr="003E144D">
        <w:rPr>
          <w:rFonts w:ascii="Tahoma" w:hAnsi="Tahoma" w:cs="Tahoma"/>
          <w:sz w:val="22"/>
          <w:szCs w:val="22"/>
        </w:rPr>
        <w:t>A child is not abused or neglected, nor is the health or welfare of the child harmed or threatened for the sole reason that:</w:t>
      </w:r>
    </w:p>
    <w:p w:rsidR="003E144D" w:rsidRPr="003E144D" w:rsidRDefault="003E144D" w:rsidP="003E144D">
      <w:pPr>
        <w:pStyle w:val="sectbody"/>
        <w:spacing w:line="240" w:lineRule="auto"/>
        <w:rPr>
          <w:rFonts w:ascii="Tahoma" w:hAnsi="Tahoma" w:cs="Tahoma"/>
          <w:sz w:val="22"/>
          <w:szCs w:val="22"/>
        </w:rPr>
      </w:pPr>
      <w:r w:rsidRPr="003E144D">
        <w:rPr>
          <w:rFonts w:ascii="Tahoma" w:hAnsi="Tahoma" w:cs="Tahoma"/>
          <w:sz w:val="22"/>
          <w:szCs w:val="22"/>
        </w:rPr>
        <w:t>(</w:t>
      </w:r>
      <w:proofErr w:type="gramStart"/>
      <w:r w:rsidRPr="003E144D">
        <w:rPr>
          <w:rFonts w:ascii="Tahoma" w:hAnsi="Tahoma" w:cs="Tahoma"/>
          <w:sz w:val="22"/>
          <w:szCs w:val="22"/>
        </w:rPr>
        <w:t>a</w:t>
      </w:r>
      <w:proofErr w:type="gramEnd"/>
      <w:r w:rsidRPr="003E144D">
        <w:rPr>
          <w:rFonts w:ascii="Tahoma" w:hAnsi="Tahoma" w:cs="Tahoma"/>
          <w:sz w:val="22"/>
          <w:szCs w:val="22"/>
        </w:rPr>
        <w:t>)</w:t>
      </w:r>
      <w:r w:rsidRPr="003E144D">
        <w:rPr>
          <w:rFonts w:ascii="Tahoma" w:hAnsi="Tahoma" w:cs="Tahoma"/>
          <w:sz w:val="22"/>
          <w:szCs w:val="22"/>
        </w:rPr>
        <w:t> </w:t>
      </w:r>
      <w:r w:rsidRPr="003E144D">
        <w:rPr>
          <w:rFonts w:ascii="Tahoma" w:hAnsi="Tahoma" w:cs="Tahoma"/>
          <w:sz w:val="22"/>
          <w:szCs w:val="22"/>
        </w:rPr>
        <w:t xml:space="preserve">The parent of the child delivers the child to a provider of emergency services pursuant to </w:t>
      </w:r>
      <w:hyperlink r:id="rId7" w:anchor="NRS432BSec630" w:history="1">
        <w:r w:rsidRPr="003E144D">
          <w:rPr>
            <w:rStyle w:val="Hyperlink"/>
            <w:rFonts w:ascii="Tahoma" w:hAnsi="Tahoma" w:cs="Tahoma"/>
            <w:sz w:val="22"/>
            <w:szCs w:val="22"/>
          </w:rPr>
          <w:t>NRS 432B.630</w:t>
        </w:r>
      </w:hyperlink>
      <w:r w:rsidRPr="003E144D">
        <w:rPr>
          <w:rFonts w:ascii="Tahoma" w:hAnsi="Tahoma" w:cs="Tahoma"/>
          <w:sz w:val="22"/>
          <w:szCs w:val="22"/>
        </w:rPr>
        <w:t>, if the parent complies with the requirements of paragraph (a) of subsection 3 of that section; or</w:t>
      </w:r>
    </w:p>
    <w:p w:rsidR="003E144D" w:rsidRPr="003E144D" w:rsidRDefault="003E144D" w:rsidP="003E144D">
      <w:pPr>
        <w:pStyle w:val="sectbody"/>
        <w:spacing w:line="240" w:lineRule="auto"/>
        <w:rPr>
          <w:rFonts w:ascii="Tahoma" w:hAnsi="Tahoma" w:cs="Tahoma"/>
          <w:sz w:val="22"/>
          <w:szCs w:val="22"/>
        </w:rPr>
      </w:pPr>
      <w:r w:rsidRPr="003E144D">
        <w:rPr>
          <w:rFonts w:ascii="Tahoma" w:hAnsi="Tahoma" w:cs="Tahoma"/>
          <w:sz w:val="22"/>
          <w:szCs w:val="22"/>
        </w:rPr>
        <w:t>(b</w:t>
      </w:r>
      <w:proofErr w:type="gramStart"/>
      <w:r w:rsidRPr="003E144D">
        <w:rPr>
          <w:rFonts w:ascii="Tahoma" w:hAnsi="Tahoma" w:cs="Tahoma"/>
          <w:sz w:val="22"/>
          <w:szCs w:val="22"/>
        </w:rPr>
        <w:t>)</w:t>
      </w:r>
      <w:proofErr w:type="gramEnd"/>
      <w:r w:rsidRPr="003E144D">
        <w:rPr>
          <w:rFonts w:ascii="Tahoma" w:hAnsi="Tahoma" w:cs="Tahoma"/>
          <w:sz w:val="22"/>
          <w:szCs w:val="22"/>
        </w:rPr>
        <w:t> </w:t>
      </w:r>
      <w:r w:rsidRPr="003E144D">
        <w:rPr>
          <w:rFonts w:ascii="Tahoma" w:hAnsi="Tahoma" w:cs="Tahoma"/>
          <w:sz w:val="22"/>
          <w:szCs w:val="22"/>
        </w:rPr>
        <w:t xml:space="preserve">The parent or guardian of the child, in good faith, selects and depends upon nonmedical remedial treatment for such child, if such treatment is recognized and permitted under the laws of this State in lieu of medical treatment. This paragraph does not limit the court in ensuring that a child receive a medical examination and treatment pursuant to </w:t>
      </w:r>
      <w:hyperlink r:id="rId8" w:anchor="NRS062ESec280" w:history="1">
        <w:r w:rsidRPr="003E144D">
          <w:rPr>
            <w:rStyle w:val="Hyperlink"/>
            <w:rFonts w:ascii="Tahoma" w:hAnsi="Tahoma" w:cs="Tahoma"/>
            <w:sz w:val="22"/>
            <w:szCs w:val="22"/>
          </w:rPr>
          <w:t>NRS 62E.280</w:t>
        </w:r>
      </w:hyperlink>
      <w:r w:rsidRPr="003E144D">
        <w:rPr>
          <w:rFonts w:ascii="Tahoma" w:hAnsi="Tahoma" w:cs="Tahoma"/>
          <w:sz w:val="22"/>
          <w:szCs w:val="22"/>
        </w:rPr>
        <w:t>.</w:t>
      </w:r>
    </w:p>
    <w:p w:rsidR="003E144D" w:rsidRPr="003E144D" w:rsidRDefault="003E144D" w:rsidP="003E144D">
      <w:pPr>
        <w:pStyle w:val="sectbody"/>
        <w:spacing w:line="240" w:lineRule="auto"/>
        <w:rPr>
          <w:rFonts w:ascii="Tahoma" w:hAnsi="Tahoma" w:cs="Tahoma"/>
          <w:sz w:val="22"/>
          <w:szCs w:val="22"/>
        </w:rPr>
      </w:pPr>
      <w:proofErr w:type="gramStart"/>
      <w:r w:rsidRPr="003E144D">
        <w:rPr>
          <w:rFonts w:ascii="Tahoma" w:hAnsi="Tahoma" w:cs="Tahoma"/>
          <w:sz w:val="22"/>
          <w:szCs w:val="22"/>
        </w:rPr>
        <w:t>3.</w:t>
      </w:r>
      <w:proofErr w:type="gramEnd"/>
      <w:r w:rsidRPr="003E144D">
        <w:rPr>
          <w:rFonts w:ascii="Tahoma" w:hAnsi="Tahoma" w:cs="Tahoma"/>
          <w:sz w:val="22"/>
          <w:szCs w:val="22"/>
        </w:rPr>
        <w:t> </w:t>
      </w:r>
      <w:r w:rsidRPr="003E144D">
        <w:rPr>
          <w:rFonts w:ascii="Tahoma" w:hAnsi="Tahoma" w:cs="Tahoma"/>
          <w:sz w:val="22"/>
          <w:szCs w:val="22"/>
        </w:rPr>
        <w:t> </w:t>
      </w:r>
      <w:r w:rsidRPr="003E144D">
        <w:rPr>
          <w:rFonts w:ascii="Tahoma" w:hAnsi="Tahoma" w:cs="Tahoma"/>
          <w:sz w:val="22"/>
          <w:szCs w:val="22"/>
        </w:rPr>
        <w:t>As used in this section, “allow” means to do nothing to prevent or stop the abuse or neglect of a child in circumstances where the person knows or has reason to know that a child is abused or neglected.</w:t>
      </w:r>
    </w:p>
    <w:p w:rsidR="003E144D" w:rsidRPr="003E144D" w:rsidRDefault="003E144D" w:rsidP="003E144D">
      <w:pPr>
        <w:spacing w:after="0" w:line="240" w:lineRule="auto"/>
        <w:rPr>
          <w:rStyle w:val="empty"/>
          <w:rFonts w:ascii="Tahoma" w:hAnsi="Tahoma" w:cs="Tahoma"/>
          <w:sz w:val="22"/>
        </w:rPr>
      </w:pPr>
    </w:p>
    <w:p w:rsidR="003E144D" w:rsidRPr="003E144D" w:rsidRDefault="003E144D" w:rsidP="003E144D">
      <w:pPr>
        <w:spacing w:after="0" w:line="240" w:lineRule="auto"/>
        <w:rPr>
          <w:rFonts w:cs="Tahoma"/>
          <w:sz w:val="22"/>
        </w:rPr>
      </w:pPr>
      <w:r w:rsidRPr="003E144D">
        <w:rPr>
          <w:rStyle w:val="empty"/>
          <w:rFonts w:ascii="Tahoma" w:hAnsi="Tahoma" w:cs="Tahoma"/>
          <w:sz w:val="22"/>
        </w:rPr>
        <w:t>NRS</w:t>
      </w:r>
      <w:r w:rsidRPr="003E144D">
        <w:rPr>
          <w:rStyle w:val="empty"/>
          <w:rFonts w:ascii="Tahoma" w:hAnsi="Tahoma" w:cs="Tahoma"/>
          <w:sz w:val="22"/>
        </w:rPr>
        <w:t> </w:t>
      </w:r>
      <w:r w:rsidRPr="003E144D">
        <w:rPr>
          <w:rStyle w:val="section"/>
          <w:rFonts w:ascii="Tahoma" w:hAnsi="Tahoma" w:cs="Tahoma"/>
          <w:sz w:val="22"/>
        </w:rPr>
        <w:t>432B.140</w:t>
      </w:r>
      <w:r w:rsidRPr="003E144D">
        <w:rPr>
          <w:rStyle w:val="empty"/>
          <w:rFonts w:ascii="Tahoma" w:hAnsi="Tahoma" w:cs="Tahoma"/>
          <w:sz w:val="22"/>
        </w:rPr>
        <w:t> </w:t>
      </w:r>
      <w:r w:rsidRPr="003E144D">
        <w:rPr>
          <w:rStyle w:val="empty"/>
          <w:rFonts w:ascii="Tahoma" w:hAnsi="Tahoma" w:cs="Tahoma"/>
          <w:sz w:val="22"/>
        </w:rPr>
        <w:t> </w:t>
      </w:r>
      <w:proofErr w:type="gramStart"/>
      <w:r w:rsidRPr="003E144D">
        <w:rPr>
          <w:rStyle w:val="leadline"/>
          <w:rFonts w:ascii="Tahoma" w:hAnsi="Tahoma" w:cs="Tahoma"/>
          <w:sz w:val="22"/>
        </w:rPr>
        <w:t>Negligent</w:t>
      </w:r>
      <w:proofErr w:type="gramEnd"/>
      <w:r w:rsidRPr="003E144D">
        <w:rPr>
          <w:rStyle w:val="leadline"/>
          <w:rFonts w:ascii="Tahoma" w:hAnsi="Tahoma" w:cs="Tahoma"/>
          <w:sz w:val="22"/>
        </w:rPr>
        <w:t xml:space="preserve"> treatment or maltreatment.</w:t>
      </w:r>
      <w:r w:rsidRPr="003E144D">
        <w:rPr>
          <w:rStyle w:val="empty"/>
          <w:rFonts w:ascii="Tahoma" w:hAnsi="Tahoma" w:cs="Tahoma"/>
          <w:sz w:val="22"/>
        </w:rPr>
        <w:t> </w:t>
      </w:r>
      <w:r w:rsidRPr="003E144D">
        <w:rPr>
          <w:rStyle w:val="empty"/>
          <w:rFonts w:ascii="Tahoma" w:hAnsi="Tahoma" w:cs="Tahoma"/>
          <w:sz w:val="22"/>
        </w:rPr>
        <w:t> </w:t>
      </w:r>
      <w:r w:rsidRPr="003E144D">
        <w:rPr>
          <w:rFonts w:cs="Tahoma"/>
          <w:sz w:val="22"/>
        </w:rPr>
        <w:t>Negligent treatment or maltreatment of a child occurs if a child has been abandoned, is without proper care, control and supervision or lacks the subsistence, education, shelter, medical care or other care necessary for the well-being of the child because of the faults or habits of the person responsible for the welfare of the child or the neglect or refusal of the person to provide them when able to do so.</w:t>
      </w:r>
    </w:p>
    <w:p w:rsidR="003E144D" w:rsidRPr="006F7A92" w:rsidRDefault="003E144D" w:rsidP="006F7A92">
      <w:pPr>
        <w:pStyle w:val="NoSpacing"/>
        <w:rPr>
          <w:sz w:val="22"/>
        </w:rPr>
      </w:pPr>
    </w:p>
    <w:sectPr w:rsidR="003E144D" w:rsidRPr="006F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C6A"/>
    <w:multiLevelType w:val="hybridMultilevel"/>
    <w:tmpl w:val="4FE8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60"/>
    <w:rsid w:val="001459FF"/>
    <w:rsid w:val="002227F7"/>
    <w:rsid w:val="002563B9"/>
    <w:rsid w:val="00376D60"/>
    <w:rsid w:val="003E144D"/>
    <w:rsid w:val="004B0CEE"/>
    <w:rsid w:val="004D464C"/>
    <w:rsid w:val="005D4E61"/>
    <w:rsid w:val="006F7A92"/>
    <w:rsid w:val="00783E8A"/>
    <w:rsid w:val="008F2E67"/>
    <w:rsid w:val="00A23C95"/>
    <w:rsid w:val="00BF054C"/>
    <w:rsid w:val="00C17D6B"/>
    <w:rsid w:val="00C8502F"/>
    <w:rsid w:val="00D02CD4"/>
    <w:rsid w:val="00DD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D60"/>
    <w:pPr>
      <w:spacing w:after="0" w:line="240" w:lineRule="auto"/>
    </w:pPr>
  </w:style>
  <w:style w:type="character" w:styleId="Hyperlink">
    <w:name w:val="Hyperlink"/>
    <w:basedOn w:val="DefaultParagraphFont"/>
    <w:uiPriority w:val="99"/>
    <w:semiHidden/>
    <w:unhideWhenUsed/>
    <w:rsid w:val="003E144D"/>
    <w:rPr>
      <w:rFonts w:ascii="Times New Roman" w:hAnsi="Times New Roman" w:cs="Times New Roman" w:hint="default"/>
      <w:color w:val="0000FF"/>
      <w:u w:val="single"/>
    </w:rPr>
  </w:style>
  <w:style w:type="paragraph" w:customStyle="1" w:styleId="sectbody">
    <w:name w:val="sectbody"/>
    <w:basedOn w:val="Normal"/>
    <w:rsid w:val="003E144D"/>
    <w:pPr>
      <w:spacing w:after="0"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3E144D"/>
    <w:rPr>
      <w:rFonts w:ascii="Times New Roman" w:hAnsi="Times New Roman" w:cs="Times New Roman" w:hint="default"/>
      <w:b/>
      <w:bCs/>
      <w:color w:val="auto"/>
    </w:rPr>
  </w:style>
  <w:style w:type="character" w:customStyle="1" w:styleId="empty">
    <w:name w:val="empty"/>
    <w:basedOn w:val="DefaultParagraphFont"/>
    <w:rsid w:val="003E144D"/>
    <w:rPr>
      <w:rFonts w:ascii="Times New Roman" w:hAnsi="Times New Roman" w:cs="Times New Roman" w:hint="default"/>
      <w:b/>
      <w:bCs/>
      <w:color w:val="auto"/>
    </w:rPr>
  </w:style>
  <w:style w:type="character" w:customStyle="1" w:styleId="section">
    <w:name w:val="section"/>
    <w:basedOn w:val="DefaultParagraphFont"/>
    <w:rsid w:val="003E144D"/>
    <w:rPr>
      <w:rFonts w:ascii="Times New Roman" w:hAnsi="Times New Roman" w:cs="Times New Roman" w:hint="default"/>
      <w:b/>
      <w:bCs/>
      <w:color w:val="auto"/>
    </w:rPr>
  </w:style>
  <w:style w:type="paragraph" w:styleId="BalloonText">
    <w:name w:val="Balloon Text"/>
    <w:basedOn w:val="Normal"/>
    <w:link w:val="BalloonTextChar"/>
    <w:uiPriority w:val="99"/>
    <w:semiHidden/>
    <w:unhideWhenUsed/>
    <w:rsid w:val="002563B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563B9"/>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D60"/>
    <w:pPr>
      <w:spacing w:after="0" w:line="240" w:lineRule="auto"/>
    </w:pPr>
  </w:style>
  <w:style w:type="character" w:styleId="Hyperlink">
    <w:name w:val="Hyperlink"/>
    <w:basedOn w:val="DefaultParagraphFont"/>
    <w:uiPriority w:val="99"/>
    <w:semiHidden/>
    <w:unhideWhenUsed/>
    <w:rsid w:val="003E144D"/>
    <w:rPr>
      <w:rFonts w:ascii="Times New Roman" w:hAnsi="Times New Roman" w:cs="Times New Roman" w:hint="default"/>
      <w:color w:val="0000FF"/>
      <w:u w:val="single"/>
    </w:rPr>
  </w:style>
  <w:style w:type="paragraph" w:customStyle="1" w:styleId="sectbody">
    <w:name w:val="sectbody"/>
    <w:basedOn w:val="Normal"/>
    <w:rsid w:val="003E144D"/>
    <w:pPr>
      <w:spacing w:after="0"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3E144D"/>
    <w:rPr>
      <w:rFonts w:ascii="Times New Roman" w:hAnsi="Times New Roman" w:cs="Times New Roman" w:hint="default"/>
      <w:b/>
      <w:bCs/>
      <w:color w:val="auto"/>
    </w:rPr>
  </w:style>
  <w:style w:type="character" w:customStyle="1" w:styleId="empty">
    <w:name w:val="empty"/>
    <w:basedOn w:val="DefaultParagraphFont"/>
    <w:rsid w:val="003E144D"/>
    <w:rPr>
      <w:rFonts w:ascii="Times New Roman" w:hAnsi="Times New Roman" w:cs="Times New Roman" w:hint="default"/>
      <w:b/>
      <w:bCs/>
      <w:color w:val="auto"/>
    </w:rPr>
  </w:style>
  <w:style w:type="character" w:customStyle="1" w:styleId="section">
    <w:name w:val="section"/>
    <w:basedOn w:val="DefaultParagraphFont"/>
    <w:rsid w:val="003E144D"/>
    <w:rPr>
      <w:rFonts w:ascii="Times New Roman" w:hAnsi="Times New Roman" w:cs="Times New Roman" w:hint="default"/>
      <w:b/>
      <w:bCs/>
      <w:color w:val="auto"/>
    </w:rPr>
  </w:style>
  <w:style w:type="paragraph" w:styleId="BalloonText">
    <w:name w:val="Balloon Text"/>
    <w:basedOn w:val="Normal"/>
    <w:link w:val="BalloonTextChar"/>
    <w:uiPriority w:val="99"/>
    <w:semiHidden/>
    <w:unhideWhenUsed/>
    <w:rsid w:val="002563B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563B9"/>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Division/Legal/LawLibrary/NRS/NRS-062E.html" TargetMode="External"/><Relationship Id="rId3" Type="http://schemas.microsoft.com/office/2007/relationships/stylesWithEffects" Target="stylesWithEffects.xml"/><Relationship Id="rId7" Type="http://schemas.openxmlformats.org/officeDocument/2006/relationships/hyperlink" Target="http://www.leg.state.nv.us/Division/Legal/LawLibrary/NRS/NRS-432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nv.us/Division/Legal/LawLibrary/NRS/NRS-432B.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Great Basin College</cp:lastModifiedBy>
  <cp:revision>2</cp:revision>
  <cp:lastPrinted>2012-10-05T14:51:00Z</cp:lastPrinted>
  <dcterms:created xsi:type="dcterms:W3CDTF">2012-10-05T14:51:00Z</dcterms:created>
  <dcterms:modified xsi:type="dcterms:W3CDTF">2012-10-05T14:51:00Z</dcterms:modified>
</cp:coreProperties>
</file>